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4"/>
        </w:rPr>
        <w:t>VARIÁVEIS PSICOLÓGICAS ASSOCIADAS AO TREINAMENTO E À COMPETIÇÃO DE ATLETAS DE HANDEBOL: PROTOCOLO DE REVISÃO SISTEMÁTICA</w:t>
      </w:r>
    </w:p>
    <w:p>
      <w:pPr>
        <w:spacing w:line="360" w:lineRule="auto" w:after="0"/>
        <w:ind w:firstLine="0"/>
        <w:jc w:val="center"/>
      </w:pPr>
      <w:r>
        <w:rPr>
          <w:rFonts w:ascii="Times New Roman" w:hAnsi="Times New Roman"/>
          <w:b w:val="0"/>
          <w:i w:val="0"/>
          <w:sz w:val="24"/>
        </w:rPr>
        <w:t>[Autoria]</w:t>
      </w:r>
    </w:p>
    <w:p>
      <w:pPr>
        <w:spacing w:line="360" w:lineRule="auto" w:after="0"/>
        <w:ind w:firstLine="0"/>
        <w:jc w:val="center"/>
      </w:pPr>
      <w:r>
        <w:rPr>
          <w:rFonts w:ascii="Times New Roman" w:hAnsi="Times New Roman"/>
          <w:b w:val="0"/>
          <w:i w:val="0"/>
          <w:sz w:val="24"/>
        </w:rPr>
        <w:t>[Instituição]</w:t>
      </w:r>
    </w:p>
    <w:p>
      <w:pPr>
        <w:spacing w:line="360" w:lineRule="auto" w:after="0"/>
        <w:ind w:firstLine="0"/>
        <w:jc w:val="center"/>
      </w:pPr>
      <w:r>
        <w:rPr>
          <w:rFonts w:ascii="Times New Roman" w:hAnsi="Times New Roman"/>
          <w:b w:val="0"/>
          <w:i w:val="0"/>
          <w:sz w:val="24"/>
        </w:rPr>
        <w:t>[Cidade, ano]</w:t>
      </w:r>
    </w:p>
    <w:p>
      <w:r>
        <w:br w:type="page"/>
      </w:r>
    </w:p>
    <w:p>
      <w:pPr>
        <w:pStyle w:val="Heading1"/>
      </w:pPr>
      <w:r>
        <w:t>RESUMO</w:t>
      </w:r>
    </w:p>
    <w:p>
      <w:pPr>
        <w:spacing w:line="240" w:lineRule="auto" w:after="120"/>
        <w:ind w:firstLine="709"/>
        <w:jc w:val="both"/>
      </w:pPr>
      <w:r>
        <w:rPr>
          <w:rFonts w:ascii="Times New Roman" w:hAnsi="Times New Roman"/>
          <w:b w:val="0"/>
          <w:i w:val="0"/>
          <w:sz w:val="24"/>
        </w:rPr>
        <w:t>[A PREENCHER: Resumo] Redigir resumo estruturado de até 250 palavras — objetivo, método, resultados principais e conclusão —, conforme a NBR 6028, em parágrafo único e espaço simples. Depende de: conclusão da triagem.</w:t>
      </w:r>
    </w:p>
    <w:p>
      <w:pPr>
        <w:spacing w:line="240" w:lineRule="auto" w:after="120"/>
        <w:ind w:firstLine="0"/>
        <w:jc w:val="both"/>
      </w:pPr>
      <w:r>
        <w:rPr>
          <w:rFonts w:ascii="Times New Roman" w:hAnsi="Times New Roman"/>
          <w:b w:val="0"/>
          <w:i w:val="0"/>
          <w:sz w:val="24"/>
        </w:rPr>
        <w:t>Palavras-chave: handebol; psicologia do esporte; ansiedade competitiva; motivação; revisão de escopo.</w:t>
      </w:r>
    </w:p>
    <w:p>
      <w:pPr>
        <w:spacing w:line="360" w:lineRule="auto" w:after="0"/>
        <w:ind w:firstLine="0"/>
        <w:jc w:val="both"/>
      </w:pPr>
      <w:r>
        <w:rPr>
          <w:rFonts w:ascii="Times New Roman" w:hAnsi="Times New Roman"/>
          <w:b w:val="0"/>
          <w:i w:val="0"/>
          <w:sz w:val="24"/>
        </w:rPr>
      </w:r>
    </w:p>
    <w:p>
      <w:pPr>
        <w:pStyle w:val="Heading1"/>
      </w:pPr>
      <w:r>
        <w:t>ABSTRACT</w:t>
      </w:r>
    </w:p>
    <w:p>
      <w:pPr>
        <w:spacing w:line="240" w:lineRule="auto" w:after="120"/>
        <w:ind w:firstLine="709"/>
        <w:jc w:val="both"/>
      </w:pPr>
      <w:r>
        <w:rPr>
          <w:rFonts w:ascii="Times New Roman" w:hAnsi="Times New Roman"/>
          <w:b w:val="0"/>
          <w:i w:val="0"/>
          <w:sz w:val="24"/>
        </w:rPr>
        <w:t>[A PREENCHER: Abstract] English version of the structured abstract. Depends on: completion of screening.</w:t>
      </w:r>
    </w:p>
    <w:p>
      <w:pPr>
        <w:spacing w:line="240" w:lineRule="auto" w:after="120"/>
        <w:ind w:firstLine="0"/>
        <w:jc w:val="both"/>
      </w:pPr>
      <w:r>
        <w:rPr>
          <w:rFonts w:ascii="Times New Roman" w:hAnsi="Times New Roman"/>
          <w:b w:val="0"/>
          <w:i w:val="0"/>
          <w:sz w:val="24"/>
        </w:rPr>
        <w:t>Keywords: handball; sport psychology; competitive anxiety; motivation; scoping review.</w:t>
      </w:r>
    </w:p>
    <w:p>
      <w:r>
        <w:br w:type="page"/>
      </w:r>
    </w:p>
    <w:p>
      <w:pPr>
        <w:pStyle w:val="Heading1"/>
      </w:pPr>
      <w:r>
        <w:t>SUMÁRIO</w:t>
      </w:r>
    </w:p>
    <w:p>
      <w:pPr>
        <w:spacing w:line="240" w:lineRule="auto" w:after="120"/>
        <w:ind w:firstLine="0"/>
        <w:jc w:val="both"/>
      </w:pPr>
      <w:r>
        <w:rPr>
          <w:rFonts w:ascii="Times New Roman" w:hAnsi="Times New Roman"/>
          <w:b w:val="0"/>
          <w:i/>
          <w:sz w:val="24"/>
        </w:rPr>
        <w:t>[Inserir sumário automático no Word: Referências › Sumário. Os títulos deste documento usam os estilos de título nativos, de modo que o sumário se gera e se atualiza sozinho.]</w:t>
      </w:r>
    </w:p>
    <w:p>
      <w:r>
        <w:br w:type="page"/>
      </w:r>
    </w:p>
    <w:p>
      <w:pPr>
        <w:pStyle w:val="Heading1"/>
      </w:pPr>
      <w:r>
        <w:t>1 INTRODUÇÃO</w:t>
      </w:r>
    </w:p>
    <w:p>
      <w:pPr>
        <w:spacing w:line="360" w:lineRule="auto" w:after="0"/>
        <w:ind w:firstLine="709"/>
        <w:jc w:val="both"/>
      </w:pPr>
      <w:r>
        <w:rPr>
          <w:rFonts w:ascii="Times New Roman" w:hAnsi="Times New Roman"/>
          <w:b w:val="0"/>
          <w:i w:val="0"/>
          <w:sz w:val="24"/>
        </w:rPr>
        <w:t>O rendimento esportivo resulta da convergência entre capacidades físicas, competência técnico-tática e recursos psicológicos, e a literatura das últimas décadas deslocou o terceiro componente da periferia para o centro da explicação. Meta-análises estabeleceram que os estados de humor guardam relação consistente com o desempenho, ainda que de magnitude modesta, e que essa relação se intensifica em tarefas de curta duração e em amostras competitivamente homogêneas (BEEDIE et al., 2000). Entre as dimensões aferidas, a depressão ocupa posição estruturante, uma vez que condiciona a expressão das demais (LANE; TERRY, 2000). A relevância dessa dimensão ultrapassa o resultado competitivo: revisões documentaram prevalência de sintomas depressivos comparável ou superior à observada na população geral entre atletas de alto rendimento (SCHAAL et al., 2011; GORCZYNSKI et al., 2017), com magnitude que varia entre modalidades coletivas e individuais (NIXDORF et al., 2013).</w:t>
      </w:r>
    </w:p>
    <w:p>
      <w:pPr>
        <w:spacing w:line="360" w:lineRule="auto" w:after="0"/>
        <w:ind w:firstLine="709"/>
        <w:jc w:val="both"/>
      </w:pPr>
      <w:r>
        <w:rPr>
          <w:rFonts w:ascii="Times New Roman" w:hAnsi="Times New Roman"/>
          <w:b w:val="0"/>
          <w:i w:val="0"/>
          <w:sz w:val="24"/>
        </w:rPr>
        <w:t>O arcabouço teórico que organiza o campo esclarece por quais mecanismos esses fenômenos operam. A percepção de eficácia pessoal antecede a escolha da tarefa, o esforço investido e a persistência diante do insucesso (BANDURA, 1977). As concepções de capacidade distinguem orientações à tarefa e ao ego, com desdobramentos sobre padrões adaptativos de realização (NICHOLLS, 1984; DUDA; NICHOLLS, 1992), ao passo que a teoria da autodeterminação explica a qualidade da motivação a partir da satisfação de necessidades psicológicas básicas (DECI; RYAN, 2000). A emoção competitiva, por sua vez, decorre da avaliação que o atleta faz da situação, e não do evento em si (LAZARUS, 2000), princípio coerente com o achado de que a interpretação atribuída ao sintoma ansioso discrimina competidores de elite melhor do que sua intensidade (JONES et al., 1994), e com a proposição de zonas individuais de funcionamento ótimo (HANIN, 2000).</w:t>
      </w:r>
    </w:p>
    <w:p>
      <w:pPr>
        <w:spacing w:line="360" w:lineRule="auto" w:after="0"/>
        <w:ind w:firstLine="709"/>
        <w:jc w:val="both"/>
      </w:pPr>
      <w:r>
        <w:rPr>
          <w:rFonts w:ascii="Times New Roman" w:hAnsi="Times New Roman"/>
          <w:b w:val="0"/>
          <w:i w:val="0"/>
          <w:sz w:val="24"/>
        </w:rPr>
        <w:t>Tais formulações originaram instrumentos que sustentam a mensuração contemporânea. O inventário de ansiedade competitiva separou componentes cognitivo e somático da autoconfiança, e sua revisão psicométrica corrigiu limitações estruturais da versão original (COX et al., 2003), embora meta-análise subsequente tenha identificado associações fracas entre esses componentes e o desempenho, moderadas pelo tipo de esporte e pelo momento da aferição (CRAFT et al., 2003). A esse conjunto somaram-se escalas de coesão grupal (CARRON et al., 1985), de afeto (WATSON et al., 1988), de estados de humor (TERRY et al., 2003), de habilidades de enfrentamento (SMITH et al., 1995; THOMAS et al., 1999) e de burnout esportivo (RAEDEKE; SMITH, 2001). O campo ampliou-se ainda para construtos de intervenção direta, entre eles a imagética (MARTIN et al., 1999), a autofala, cujo efeito sobre o desempenho foi sintetizado em meta-análise (HATZIGEORGIADIS et al., 2011), a inteligência emocional (LABORDE et al., 2016) e o sono, cuja privação compromete respostas fisiológicas e cognitivas relevantes à prática esportiva (FULLAGAR et al., 2015).</w:t>
      </w:r>
    </w:p>
    <w:p>
      <w:pPr>
        <w:spacing w:line="360" w:lineRule="auto" w:after="0"/>
        <w:ind w:firstLine="709"/>
        <w:jc w:val="both"/>
      </w:pPr>
      <w:r>
        <w:rPr>
          <w:rFonts w:ascii="Times New Roman" w:hAnsi="Times New Roman"/>
          <w:b w:val="0"/>
          <w:i w:val="0"/>
          <w:sz w:val="24"/>
        </w:rPr>
        <w:t>Nas modalidades coletivas, parcela relevante da variância psicológica situa-se no grupo, e não apenas no indivíduo, o que exige unidades de análise distintas. Meta-análise sobre coesão demonstrou relação moderada e bidirecional com o desempenho, mais intensa em esportes interativos e entre equipes femininas (CARRON et al., 2002). A resiliência de equipe foi caracterizada como propriedade emergente, sustentada por estruturas de grupo, massa crítica de recursos e capital social (MORGAN et al., 2013), e modelos mentais compartilhados mostraram-se associados ao entrosamento tático em equipes de elite (GISKE et al., 2015). O momentum psicológico, por sua vez, opera na dinâmica da partida e altera percepções de controle durante a competição (JONES; HARWOOD, 2008). O burnout do atleta resulta da combinação entre carga percebida, clima motivacional e recursos de enfrentamento, o que demanda modelos integrados em lugar de explicações unicausais (GUSTAFSSON et al., 2011), com prevalência já documentada entre adolescentes competitivos (GUSTAFSSON et al., 2007).</w:t>
      </w:r>
    </w:p>
    <w:p>
      <w:pPr>
        <w:spacing w:line="360" w:lineRule="auto" w:after="0"/>
        <w:ind w:firstLine="709"/>
        <w:jc w:val="both"/>
      </w:pPr>
      <w:r>
        <w:rPr>
          <w:rFonts w:ascii="Times New Roman" w:hAnsi="Times New Roman"/>
          <w:b w:val="0"/>
          <w:i w:val="0"/>
          <w:sz w:val="24"/>
        </w:rPr>
        <w:t>O handebol reúne condições que intensificam esses processos. Trata-se de modalidade coletiva intermitente, disputada em espaço reduzido, com contato corporal permitido, alternância acelerada entre ataque e defesa e decisões executadas sob severa restrição temporal. A análise de jogo evoluiu de descrições estáticas para abordagens dinâmicas, capazes de capturar a interação entre equipes ao longo da partida (PRIETO et al., 2015). As exigências de quadra diferem acentuadamente conforme a posição ocupada (KARCHER; BUCHHEIT, 2014; MICHALSIK, 2018), diferenciação que se estende ao perfil antropométrico e de desempenho de atletas de nível mundial (GHOBADI et al., 2013) e aos indicadores empregados na identificação de talentos (MOHAMED et al., 2009). Soma-se a esse quadro uma incidência elevada de lesões, documentada tanto na base quanto na elite (MOLLER et al., 2012), condição que introduz demandas psicológicas adicionais associadas ao afastamento e ao retorno à prática. Análises recentes mostram ainda que a carga externa oscila conforme o tempo acumulado de participação, o que gera respostas heterogêneas entre atletas do mesmo elenco (KARCHER et al., 2025), e que o acompanhamento durante o jogo revela flutuações não detectáveis pela avaliação restrita ao treinamento (BAUER et al., 2026), razão pela qual propostas atuais integram indicadores de treino e de competição em um único sistema (SKARBALIUS, 2026).</w:t>
      </w:r>
    </w:p>
    <w:p>
      <w:pPr>
        <w:spacing w:line="360" w:lineRule="auto" w:after="0"/>
        <w:ind w:firstLine="709"/>
        <w:jc w:val="both"/>
      </w:pPr>
      <w:r>
        <w:rPr>
          <w:rFonts w:ascii="Times New Roman" w:hAnsi="Times New Roman"/>
          <w:b w:val="0"/>
          <w:i w:val="0"/>
          <w:sz w:val="24"/>
        </w:rPr>
        <w:t>Aplicada à modalidade, a investigação psicológica acompanhou essa especificidade. A ansiedade pré-competitiva mostra-se predita pela experiência esportiva acumulada (CARVALHO et al., 2026) e associada ao perfeccionismo, com magnitude distinta entre treino e jogo (KOSMIDOU et al., 2025). Temperamento e personalidade explicam parte da variabilidade na acurácia decisória (ŚWIDWA et al., 2026), enquanto a fadiga mental deteriora essa mesma acurácia e a atenção visual (KIM et al., 2026), prejuízo que programas de atenção plena atenuam (STAIANO et al., 2026). Os estados de humor respondem tanto a intervenções pedagógicas quanto ao estado endócrino (SAHLI et al., 2024; RATZ-SULYOK et al., 2026), e o clima motivacional criado por treinadores e pares altera-se ao longo da temporada (JØRGENSEN et al., 2026). O conjunto configura um campo produtivo, porém disperso em construtos que raramente dialogam.</w:t>
      </w:r>
    </w:p>
    <w:p>
      <w:pPr>
        <w:spacing w:line="360" w:lineRule="auto" w:after="0"/>
        <w:ind w:firstLine="709"/>
        <w:jc w:val="both"/>
      </w:pPr>
      <w:r>
        <w:rPr>
          <w:rFonts w:ascii="Times New Roman" w:hAnsi="Times New Roman"/>
          <w:b w:val="0"/>
          <w:i w:val="0"/>
          <w:sz w:val="24"/>
        </w:rPr>
        <w:t>Essa dispersão sustenta a justificativa desta revisão. Parcela expressiva da produção encontra-se em periódicos ibero-americanos e do leste europeu ausentes das bases anglófonas de maior alcance (SAHA et al., 2025), o que compromete revisões apoiadas em fonte única. Outra fração examina agentes que extrapolam o atleta, entre eles o treinador (MATSUBARA; TAKAI, 2025) e o árbitro (DODT; MEMMERT, 2024), sem que se tenha estabelecido como esses achados se articulam. Persistem, ademais, lacunas na validação psicométrica de instrumentos aplicados a atletas (ZAIBI et al., 2026), e o abandono precoce permanece como desfecho recorrente da interação entre pressão por rendimento e estruturas de formação (FILÓ, 2026; KASSAY et al., 2026). A esse conjunto acrescenta-se uma restrição de indexação com consequências diretas sobre a recuperação da literatura: não há descritor para handebol no vocabulário controlado MeSH, de modo que a busca depende integralmente de termos livres. Na ausência de uma síntese que delimite o que foi investigado, com quais instrumentos e sob quais delineamentos, decisões de pesquisa e de intervenção seguem apoiadas em evidência fragmentada.</w:t>
      </w:r>
    </w:p>
    <w:p>
      <w:pPr>
        <w:spacing w:line="360" w:lineRule="auto" w:after="0"/>
        <w:ind w:firstLine="709"/>
        <w:jc w:val="both"/>
      </w:pPr>
      <w:r>
        <w:rPr>
          <w:rFonts w:ascii="Times New Roman" w:hAnsi="Times New Roman"/>
          <w:b w:val="0"/>
          <w:i w:val="0"/>
          <w:sz w:val="24"/>
        </w:rPr>
        <w:t>Diante do exposto, esta revisão sistemática propõe-se a mapear as variáveis psicológicas investigadas em atletas e praticantes de handebol nos contextos de treinamento e de competição, em estudos publicados entre 2006 e 2026. Espera-se que o mapa resultante identifique concentrações temáticas, explicite lacunas e ofereça base para a formulação de perguntas de pesquisa delimitadas, além de subsidiar a escolha de instrumentos em investigações futuras conduzidas na modalidade.</w:t>
      </w:r>
    </w:p>
    <w:p>
      <w:pPr>
        <w:pStyle w:val="Heading1"/>
      </w:pPr>
      <w:r>
        <w:t>2 OBJETIVOS</w:t>
      </w:r>
    </w:p>
    <w:p>
      <w:pPr>
        <w:pStyle w:val="Heading2"/>
      </w:pPr>
      <w:r>
        <w:t>2.1 Objetivo geral</w:t>
      </w:r>
    </w:p>
    <w:p>
      <w:pPr>
        <w:spacing w:line="360" w:lineRule="auto" w:after="0"/>
        <w:ind w:firstLine="709"/>
        <w:jc w:val="both"/>
      </w:pPr>
      <w:r>
        <w:rPr>
          <w:rFonts w:ascii="Times New Roman" w:hAnsi="Times New Roman"/>
          <w:b w:val="0"/>
          <w:i w:val="0"/>
          <w:sz w:val="24"/>
        </w:rPr>
        <w:t>Mapear sistematicamente as variáveis psicológicas investigadas em atletas e praticantes de handebol nos contextos de treinamento e de competição, em estudos publicados entre 2006 e 2026.</w:t>
      </w:r>
    </w:p>
    <w:p>
      <w:pPr>
        <w:pStyle w:val="Heading2"/>
      </w:pPr>
      <w:r>
        <w:t>2.2 Objetivos específicos</w:t>
      </w:r>
    </w:p>
    <w:p>
      <w:pPr>
        <w:spacing w:line="360" w:lineRule="auto" w:after="0"/>
        <w:ind w:firstLine="709"/>
        <w:jc w:val="both"/>
      </w:pPr>
      <w:r>
        <w:rPr>
          <w:rFonts w:ascii="Times New Roman" w:hAnsi="Times New Roman"/>
          <w:b w:val="0"/>
          <w:i w:val="0"/>
          <w:sz w:val="24"/>
        </w:rPr>
        <w:t>a) Identificar as famílias de construto psicológico predominantes e a distribuição temporal de cada uma ao longo do período examinado.</w:t>
      </w:r>
    </w:p>
    <w:p>
      <w:pPr>
        <w:spacing w:line="360" w:lineRule="auto" w:after="0"/>
        <w:ind w:firstLine="709"/>
        <w:jc w:val="both"/>
      </w:pPr>
      <w:r>
        <w:rPr>
          <w:rFonts w:ascii="Times New Roman" w:hAnsi="Times New Roman"/>
          <w:b w:val="0"/>
          <w:i w:val="0"/>
          <w:sz w:val="24"/>
        </w:rPr>
        <w:t>b) Catalogar os instrumentos psicométricos empregados e verificar a correspondência entre o instrumento adotado e o construto declarado.</w:t>
      </w:r>
    </w:p>
    <w:p>
      <w:pPr>
        <w:spacing w:line="360" w:lineRule="auto" w:after="0"/>
        <w:ind w:firstLine="709"/>
        <w:jc w:val="both"/>
      </w:pPr>
      <w:r>
        <w:rPr>
          <w:rFonts w:ascii="Times New Roman" w:hAnsi="Times New Roman"/>
          <w:b w:val="0"/>
          <w:i w:val="0"/>
          <w:sz w:val="24"/>
        </w:rPr>
        <w:t>c) Caracterizar os delineamentos de pesquisa, o tamanho e a composição das amostras quanto a sexo, faixa etária, nível competitivo e posição de jogo.</w:t>
      </w:r>
    </w:p>
    <w:p>
      <w:pPr>
        <w:spacing w:line="360" w:lineRule="auto" w:after="0"/>
        <w:ind w:firstLine="709"/>
        <w:jc w:val="both"/>
      </w:pPr>
      <w:r>
        <w:rPr>
          <w:rFonts w:ascii="Times New Roman" w:hAnsi="Times New Roman"/>
          <w:b w:val="0"/>
          <w:i w:val="0"/>
          <w:sz w:val="24"/>
        </w:rPr>
        <w:t>d) Descrever a distribuição geográfica e idiomática da produção, e identificar regiões sub-representadas nas bases de maior alcance.</w:t>
      </w:r>
    </w:p>
    <w:p>
      <w:pPr>
        <w:spacing w:line="360" w:lineRule="auto" w:after="0"/>
        <w:ind w:firstLine="709"/>
        <w:jc w:val="both"/>
      </w:pPr>
      <w:r>
        <w:rPr>
          <w:rFonts w:ascii="Times New Roman" w:hAnsi="Times New Roman"/>
          <w:b w:val="0"/>
          <w:i w:val="0"/>
          <w:sz w:val="24"/>
        </w:rPr>
        <w:t>e) Examinar as práticas de relato estatístico, com atenção ao tamanho de efeito e à correção para comparações múltiplas.</w:t>
      </w:r>
    </w:p>
    <w:p>
      <w:pPr>
        <w:spacing w:line="360" w:lineRule="auto" w:after="0"/>
        <w:ind w:firstLine="709"/>
        <w:jc w:val="both"/>
      </w:pPr>
      <w:r>
        <w:rPr>
          <w:rFonts w:ascii="Times New Roman" w:hAnsi="Times New Roman"/>
          <w:b w:val="0"/>
          <w:i w:val="0"/>
          <w:sz w:val="24"/>
        </w:rPr>
        <w:t>f) Distinguir achados obtidos em contexto de treinamento daqueles obtidos em competição, e verificar quais construtos foram investigados em ambos.</w:t>
      </w:r>
    </w:p>
    <w:p>
      <w:pPr>
        <w:spacing w:line="360" w:lineRule="auto" w:after="0"/>
        <w:ind w:firstLine="709"/>
        <w:jc w:val="both"/>
      </w:pPr>
      <w:r>
        <w:rPr>
          <w:rFonts w:ascii="Times New Roman" w:hAnsi="Times New Roman"/>
          <w:b w:val="0"/>
          <w:i w:val="0"/>
          <w:sz w:val="24"/>
        </w:rPr>
        <w:t>g) Localizar lacunas temáticas, metodológicas e geográficas que orientem investigações futuras.</w:t>
      </w:r>
    </w:p>
    <w:p>
      <w:pPr>
        <w:pStyle w:val="Heading2"/>
      </w:pPr>
      <w:r>
        <w:t>2.3 Pergunta de revisão</w:t>
      </w:r>
    </w:p>
    <w:p>
      <w:pPr>
        <w:spacing w:line="360" w:lineRule="auto" w:after="0"/>
        <w:ind w:firstLine="709"/>
        <w:jc w:val="both"/>
      </w:pPr>
      <w:r>
        <w:rPr>
          <w:rFonts w:ascii="Times New Roman" w:hAnsi="Times New Roman"/>
          <w:b w:val="0"/>
          <w:i w:val="0"/>
          <w:sz w:val="24"/>
        </w:rPr>
        <w:t>Quais variáveis psicológicas são investigadas em atletas e praticantes de handebol nos contextos de treinamento e de competição?</w:t>
      </w:r>
    </w:p>
    <w:p>
      <w:pPr>
        <w:pStyle w:val="Heading1"/>
      </w:pPr>
      <w:r>
        <w:t>3 MÉTODO</w:t>
      </w:r>
    </w:p>
    <w:p>
      <w:pPr>
        <w:pStyle w:val="Heading2"/>
      </w:pPr>
      <w:r>
        <w:t>3.1 Delineamento e diretriz de relato</w:t>
      </w:r>
    </w:p>
    <w:p>
      <w:pPr>
        <w:spacing w:line="360" w:lineRule="auto" w:after="0"/>
        <w:ind w:firstLine="709"/>
        <w:jc w:val="both"/>
      </w:pPr>
      <w:r>
        <w:rPr>
          <w:rFonts w:ascii="Times New Roman" w:hAnsi="Times New Roman"/>
          <w:b w:val="0"/>
          <w:i w:val="0"/>
          <w:sz w:val="24"/>
        </w:rPr>
        <w:t>Revisão de escopo, conduzida e relatada conforme a diretriz PRISMA Extension for Scoping Reviews (PRISMA-ScR). A escolha decorre do objetivo declarado: mapear a extensão, a variedade e a distribuição da produção sobre variáveis psicológicas no handebol, e não estimar o efeito de uma intervenção determinada. É esse objetivo que o acrônimo PCC estrutura, e é a PRISMA-ScR, não a PRISMA 2020, a diretriz que corresponde a ele. A revisão mantém, ainda assim, os procedimentos de rigor que a PRISMA 2020 exige e que a PRISMA-ScR não torna obrigatórios: triagem em duplicata com aferição de concordância, registro do motivo de cada exclusão e extração conferida por segundo revisor.</w:t>
      </w:r>
    </w:p>
    <w:p>
      <w:pPr>
        <w:pStyle w:val="Heading2"/>
      </w:pPr>
      <w:r>
        <w:t>3.2 Registro do protocolo</w:t>
      </w:r>
    </w:p>
    <w:p>
      <w:pPr>
        <w:spacing w:line="360" w:lineRule="auto" w:after="0"/>
        <w:ind w:firstLine="709"/>
        <w:jc w:val="both"/>
      </w:pPr>
      <w:r>
        <w:rPr>
          <w:rFonts w:ascii="Times New Roman" w:hAnsi="Times New Roman"/>
          <w:b w:val="0"/>
          <w:i w:val="0"/>
          <w:sz w:val="24"/>
        </w:rPr>
        <w:t>[A PREENCHER: Registro do protocolo] O PROSPERO não aceita revisões de escopo, de modo que o registro deve ser feito no Open Science Framework, plataforma recomendada pelo JBI para esse desenho. Informar o identificador e a data de submissão. O registro prospectivo deve anteceder o início da triagem; registro retrospectivo precisa ser declarado como tal. Depende de: submissão do protocolo ao OSF.</w:t>
      </w:r>
    </w:p>
    <w:p>
      <w:pPr>
        <w:pStyle w:val="Heading2"/>
      </w:pPr>
      <w:r>
        <w:t>3.3 Critérios de elegibilidade</w:t>
      </w:r>
    </w:p>
    <w:p>
      <w:pPr>
        <w:spacing w:line="360" w:lineRule="auto" w:after="0"/>
        <w:ind w:firstLine="709"/>
        <w:jc w:val="both"/>
      </w:pPr>
      <w:r>
        <w:rPr>
          <w:rFonts w:ascii="Times New Roman" w:hAnsi="Times New Roman"/>
          <w:b w:val="0"/>
          <w:i w:val="0"/>
          <w:sz w:val="24"/>
        </w:rPr>
        <w:t>Os critérios foram definidos previamente e organizados nos três eixos do acrônimo PCC, acrescidos da janela temporal, conforme o Quadro 1.</w:t>
      </w:r>
    </w:p>
    <w:p>
      <w:pPr>
        <w:spacing w:line="240" w:lineRule="auto" w:after="120"/>
        <w:ind w:firstLine="0"/>
        <w:jc w:val="left"/>
      </w:pPr>
      <w:r>
        <w:rPr>
          <w:rFonts w:ascii="Times New Roman" w:hAnsi="Times New Roman"/>
          <w:b w:val="0"/>
          <w:i w:val="0"/>
          <w:sz w:val="20"/>
        </w:rPr>
        <w:t>Quadro 1 – Critérios de inclusão e respectivas justificativas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Eixo</w:t>
            </w:r>
          </w:p>
        </w:tc>
        <w:tc>
          <w:tcPr>
            <w:tcW w:type="dxa" w:w="3024"/>
          </w:tcPr>
          <w:p>
            <w:r/>
            <w:r>
              <w:rPr>
                <w:rFonts w:ascii="Times New Roman" w:hAnsi="Times New Roman"/>
                <w:b/>
                <w:sz w:val="20"/>
              </w:rPr>
              <w:t>Critério de inclusão</w:t>
            </w:r>
          </w:p>
        </w:tc>
        <w:tc>
          <w:tcPr>
            <w:tcW w:type="dxa" w:w="3024"/>
          </w:tcPr>
          <w:p>
            <w:r/>
            <w:r>
              <w:rPr>
                <w:rFonts w:ascii="Times New Roman" w:hAnsi="Times New Roman"/>
                <w:b/>
                <w:sz w:val="20"/>
              </w:rPr>
              <w:t>Justificativa</w:t>
            </w:r>
          </w:p>
        </w:tc>
      </w:tr>
      <w:tr>
        <w:tc>
          <w:tcPr>
            <w:tcW w:type="dxa" w:w="3024"/>
          </w:tcPr>
          <w:p>
            <w:r/>
            <w:r>
              <w:rPr>
                <w:rFonts w:ascii="Times New Roman" w:hAnsi="Times New Roman"/>
                <w:b w:val="0"/>
                <w:sz w:val="20"/>
              </w:rPr>
              <w:t>População</w:t>
            </w:r>
          </w:p>
        </w:tc>
        <w:tc>
          <w:tcPr>
            <w:tcW w:type="dxa" w:w="3024"/>
          </w:tcPr>
          <w:p>
            <w:r/>
            <w:r>
              <w:rPr>
                <w:rFonts w:ascii="Times New Roman" w:hAnsi="Times New Roman"/>
                <w:b w:val="0"/>
                <w:sz w:val="20"/>
              </w:rPr>
              <w:t>Atletas ou praticantes de handebol de quadra ou de areia, sem restrição de sexo, idade ou nível competitivo</w:t>
            </w:r>
          </w:p>
        </w:tc>
        <w:tc>
          <w:tcPr>
            <w:tcW w:type="dxa" w:w="3024"/>
          </w:tcPr>
          <w:p>
            <w:r/>
            <w:r>
              <w:rPr>
                <w:rFonts w:ascii="Times New Roman" w:hAnsi="Times New Roman"/>
                <w:b w:val="0"/>
                <w:sz w:val="20"/>
              </w:rPr>
              <w:t>Amplitude deliberada, para não excluir a literatura de base e recreacional, onde se concentram estudos sobre adesão e abandono</w:t>
            </w:r>
          </w:p>
        </w:tc>
      </w:tr>
      <w:tr>
        <w:tc>
          <w:tcPr>
            <w:tcW w:type="dxa" w:w="3024"/>
          </w:tcPr>
          <w:p>
            <w:r/>
            <w:r>
              <w:rPr>
                <w:rFonts w:ascii="Times New Roman" w:hAnsi="Times New Roman"/>
                <w:b w:val="0"/>
                <w:sz w:val="20"/>
              </w:rPr>
              <w:t>Conceito</w:t>
            </w:r>
          </w:p>
        </w:tc>
        <w:tc>
          <w:tcPr>
            <w:tcW w:type="dxa" w:w="3024"/>
          </w:tcPr>
          <w:p>
            <w:r/>
            <w:r>
              <w:rPr>
                <w:rFonts w:ascii="Times New Roman" w:hAnsi="Times New Roman"/>
                <w:b w:val="0"/>
                <w:sz w:val="20"/>
              </w:rPr>
              <w:t>Aferição de ao menos uma variável psicológica por instrumento, escala ou protocolo descrito</w:t>
            </w:r>
          </w:p>
        </w:tc>
        <w:tc>
          <w:tcPr>
            <w:tcW w:type="dxa" w:w="3024"/>
          </w:tcPr>
          <w:p>
            <w:r/>
            <w:r>
              <w:rPr>
                <w:rFonts w:ascii="Times New Roman" w:hAnsi="Times New Roman"/>
                <w:b w:val="0"/>
                <w:sz w:val="20"/>
              </w:rPr>
              <w:t>A exigência de aferição afasta estudos que apenas mencionam construtos psicológicos na discussão</w:t>
            </w:r>
          </w:p>
        </w:tc>
      </w:tr>
      <w:tr>
        <w:tc>
          <w:tcPr>
            <w:tcW w:type="dxa" w:w="3024"/>
          </w:tcPr>
          <w:p>
            <w:r/>
            <w:r>
              <w:rPr>
                <w:rFonts w:ascii="Times New Roman" w:hAnsi="Times New Roman"/>
                <w:b w:val="0"/>
                <w:sz w:val="20"/>
              </w:rPr>
              <w:t>Contexto</w:t>
            </w:r>
          </w:p>
        </w:tc>
        <w:tc>
          <w:tcPr>
            <w:tcW w:type="dxa" w:w="3024"/>
          </w:tcPr>
          <w:p>
            <w:r/>
            <w:r>
              <w:rPr>
                <w:rFonts w:ascii="Times New Roman" w:hAnsi="Times New Roman"/>
                <w:b w:val="0"/>
                <w:sz w:val="20"/>
              </w:rPr>
              <w:t>Treinamento ou competição</w:t>
            </w:r>
          </w:p>
        </w:tc>
        <w:tc>
          <w:tcPr>
            <w:tcW w:type="dxa" w:w="3024"/>
          </w:tcPr>
          <w:p>
            <w:r/>
            <w:r>
              <w:rPr>
                <w:rFonts w:ascii="Times New Roman" w:hAnsi="Times New Roman"/>
                <w:b w:val="0"/>
                <w:sz w:val="20"/>
              </w:rPr>
              <w:t>Separa o estudo aplicado ao esporte do estudo psicológico geral conduzido com atletas</w:t>
            </w:r>
          </w:p>
        </w:tc>
      </w:tr>
      <w:tr>
        <w:tc>
          <w:tcPr>
            <w:tcW w:type="dxa" w:w="3024"/>
          </w:tcPr>
          <w:p>
            <w:r/>
            <w:r>
              <w:rPr>
                <w:rFonts w:ascii="Times New Roman" w:hAnsi="Times New Roman"/>
                <w:b w:val="0"/>
                <w:sz w:val="20"/>
              </w:rPr>
              <w:t>Janela</w:t>
            </w:r>
          </w:p>
        </w:tc>
        <w:tc>
          <w:tcPr>
            <w:tcW w:type="dxa" w:w="3024"/>
          </w:tcPr>
          <w:p>
            <w:r/>
            <w:r>
              <w:rPr>
                <w:rFonts w:ascii="Times New Roman" w:hAnsi="Times New Roman"/>
                <w:b w:val="0"/>
                <w:sz w:val="20"/>
              </w:rPr>
              <w:t>Publicações entre 2006 e 2026</w:t>
            </w:r>
          </w:p>
        </w:tc>
        <w:tc>
          <w:tcPr>
            <w:tcW w:type="dxa" w:w="3024"/>
          </w:tcPr>
          <w:p>
            <w:r/>
            <w:r>
              <w:rPr>
                <w:rFonts w:ascii="Times New Roman" w:hAnsi="Times New Roman"/>
                <w:b w:val="0"/>
                <w:sz w:val="20"/>
              </w:rPr>
              <w:t>Duas décadas completas, período de consolidação das versões reduzidas dos instrumentos de humor e de ansiedade</w:t>
            </w:r>
          </w:p>
        </w:tc>
      </w:tr>
    </w:tbl>
    <w:p>
      <w:pPr>
        <w:spacing w:line="240" w:lineRule="auto" w:after="120"/>
        <w:ind w:firstLine="0"/>
        <w:jc w:val="both"/>
      </w:pPr>
      <w:r>
        <w:rPr>
          <w:rFonts w:ascii="Times New Roman" w:hAnsi="Times New Roman"/>
          <w:b w:val="0"/>
          <w:i w:val="0"/>
          <w:sz w:val="20"/>
        </w:rPr>
        <w:t>Fonte: Elaborada pelos autores.</w:t>
      </w:r>
    </w:p>
    <w:p>
      <w:pPr>
        <w:spacing w:line="360" w:lineRule="auto" w:after="0"/>
        <w:ind w:firstLine="709"/>
        <w:jc w:val="both"/>
      </w:pPr>
      <w:r>
        <w:rPr>
          <w:rFonts w:ascii="Times New Roman" w:hAnsi="Times New Roman"/>
          <w:b w:val="0"/>
          <w:i w:val="0"/>
          <w:sz w:val="24"/>
        </w:rPr>
        <w:t>Estabeleceram-se seis critérios de exclusão, aplicados na ordem apresentada no Quadro 2 e registrados individualmente para cada estudo excluído, conforme determina o diagrama PRISMA.</w:t>
      </w:r>
    </w:p>
    <w:p>
      <w:pPr>
        <w:spacing w:line="240" w:lineRule="auto" w:after="120"/>
        <w:ind w:firstLine="0"/>
        <w:jc w:val="left"/>
      </w:pPr>
      <w:r>
        <w:rPr>
          <w:rFonts w:ascii="Times New Roman" w:hAnsi="Times New Roman"/>
          <w:b w:val="0"/>
          <w:i w:val="0"/>
          <w:sz w:val="20"/>
        </w:rPr>
        <w:t>Quadro 2 – Critérios de exclusão e definições operacionais</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b/>
                <w:sz w:val="20"/>
              </w:rPr>
              <w:t>Critério</w:t>
            </w:r>
          </w:p>
        </w:tc>
        <w:tc>
          <w:tcPr>
            <w:tcW w:type="dxa" w:w="4535"/>
          </w:tcPr>
          <w:p>
            <w:r/>
            <w:r>
              <w:rPr>
                <w:rFonts w:ascii="Times New Roman" w:hAnsi="Times New Roman"/>
                <w:b/>
                <w:sz w:val="20"/>
              </w:rPr>
              <w:t>Definição operacional</w:t>
            </w:r>
          </w:p>
        </w:tc>
      </w:tr>
      <w:tr>
        <w:tc>
          <w:tcPr>
            <w:tcW w:type="dxa" w:w="4535"/>
          </w:tcPr>
          <w:p>
            <w:r/>
            <w:r>
              <w:rPr>
                <w:rFonts w:ascii="Times New Roman" w:hAnsi="Times New Roman"/>
                <w:b w:val="0"/>
                <w:sz w:val="20"/>
              </w:rPr>
              <w:t>População não é de handebol</w:t>
            </w:r>
          </w:p>
        </w:tc>
        <w:tc>
          <w:tcPr>
            <w:tcW w:type="dxa" w:w="4535"/>
          </w:tcPr>
          <w:p>
            <w:r/>
            <w:r>
              <w:rPr>
                <w:rFonts w:ascii="Times New Roman" w:hAnsi="Times New Roman"/>
                <w:b w:val="0"/>
                <w:sz w:val="20"/>
              </w:rPr>
              <w:t>Amostra não composta por praticantes de handebol, ou modalidade citada apenas como exemplo</w:t>
            </w:r>
          </w:p>
        </w:tc>
      </w:tr>
      <w:tr>
        <w:tc>
          <w:tcPr>
            <w:tcW w:type="dxa" w:w="4535"/>
          </w:tcPr>
          <w:p>
            <w:r/>
            <w:r>
              <w:rPr>
                <w:rFonts w:ascii="Times New Roman" w:hAnsi="Times New Roman"/>
                <w:b w:val="0"/>
                <w:sz w:val="20"/>
              </w:rPr>
              <w:t>Não mede variável psicológica</w:t>
            </w:r>
          </w:p>
        </w:tc>
        <w:tc>
          <w:tcPr>
            <w:tcW w:type="dxa" w:w="4535"/>
          </w:tcPr>
          <w:p>
            <w:r/>
            <w:r>
              <w:rPr>
                <w:rFonts w:ascii="Times New Roman" w:hAnsi="Times New Roman"/>
                <w:b w:val="0"/>
                <w:sz w:val="20"/>
              </w:rPr>
              <w:t>Nenhum construto psicológico aferido; somente desfechos físicos, fisiológicos ou biomecânicos</w:t>
            </w:r>
          </w:p>
        </w:tc>
      </w:tr>
      <w:tr>
        <w:tc>
          <w:tcPr>
            <w:tcW w:type="dxa" w:w="4535"/>
          </w:tcPr>
          <w:p>
            <w:r/>
            <w:r>
              <w:rPr>
                <w:rFonts w:ascii="Times New Roman" w:hAnsi="Times New Roman"/>
                <w:b w:val="0"/>
                <w:sz w:val="20"/>
              </w:rPr>
              <w:t>Fora de treinamento ou competição</w:t>
            </w:r>
          </w:p>
        </w:tc>
        <w:tc>
          <w:tcPr>
            <w:tcW w:type="dxa" w:w="4535"/>
          </w:tcPr>
          <w:p>
            <w:r/>
            <w:r>
              <w:rPr>
                <w:rFonts w:ascii="Times New Roman" w:hAnsi="Times New Roman"/>
                <w:b w:val="0"/>
                <w:sz w:val="20"/>
              </w:rPr>
              <w:t>Contexto clínico, escolar ou laboratorial sem vínculo com a prática esportiva</w:t>
            </w:r>
          </w:p>
        </w:tc>
      </w:tr>
      <w:tr>
        <w:tc>
          <w:tcPr>
            <w:tcW w:type="dxa" w:w="4535"/>
          </w:tcPr>
          <w:p>
            <w:r/>
            <w:r>
              <w:rPr>
                <w:rFonts w:ascii="Times New Roman" w:hAnsi="Times New Roman"/>
                <w:b w:val="0"/>
                <w:sz w:val="20"/>
              </w:rPr>
              <w:t>Delineamento inelegível</w:t>
            </w:r>
          </w:p>
        </w:tc>
        <w:tc>
          <w:tcPr>
            <w:tcW w:type="dxa" w:w="4535"/>
          </w:tcPr>
          <w:p>
            <w:r/>
            <w:r>
              <w:rPr>
                <w:rFonts w:ascii="Times New Roman" w:hAnsi="Times New Roman"/>
                <w:b w:val="0"/>
                <w:sz w:val="20"/>
              </w:rPr>
              <w:t>Editorial, carta ao editor, resumo de congresso sem dados, protocolo de estudo ou revisão narrativa</w:t>
            </w:r>
          </w:p>
        </w:tc>
      </w:tr>
      <w:tr>
        <w:tc>
          <w:tcPr>
            <w:tcW w:type="dxa" w:w="4535"/>
          </w:tcPr>
          <w:p>
            <w:r/>
            <w:r>
              <w:rPr>
                <w:rFonts w:ascii="Times New Roman" w:hAnsi="Times New Roman"/>
                <w:b w:val="0"/>
                <w:sz w:val="20"/>
              </w:rPr>
              <w:t>Duplicata não detectada</w:t>
            </w:r>
          </w:p>
        </w:tc>
        <w:tc>
          <w:tcPr>
            <w:tcW w:type="dxa" w:w="4535"/>
          </w:tcPr>
          <w:p>
            <w:r/>
            <w:r>
              <w:rPr>
                <w:rFonts w:ascii="Times New Roman" w:hAnsi="Times New Roman"/>
                <w:b w:val="0"/>
                <w:sz w:val="20"/>
              </w:rPr>
              <w:t>Mesmo estudo já incluído sob outro registro</w:t>
            </w:r>
          </w:p>
        </w:tc>
      </w:tr>
      <w:tr>
        <w:tc>
          <w:tcPr>
            <w:tcW w:type="dxa" w:w="4535"/>
          </w:tcPr>
          <w:p>
            <w:r/>
            <w:r>
              <w:rPr>
                <w:rFonts w:ascii="Times New Roman" w:hAnsi="Times New Roman"/>
                <w:b w:val="0"/>
                <w:sz w:val="20"/>
              </w:rPr>
              <w:t>Idioma inacessível</w:t>
            </w:r>
          </w:p>
        </w:tc>
        <w:tc>
          <w:tcPr>
            <w:tcW w:type="dxa" w:w="4535"/>
          </w:tcPr>
          <w:p>
            <w:r/>
            <w:r>
              <w:rPr>
                <w:rFonts w:ascii="Times New Roman" w:hAnsi="Times New Roman"/>
                <w:b w:val="0"/>
                <w:sz w:val="20"/>
              </w:rPr>
              <w:t>Ausência de tradução disponível à equipe</w:t>
            </w:r>
          </w:p>
        </w:tc>
      </w:tr>
    </w:tbl>
    <w:p>
      <w:pPr>
        <w:spacing w:line="240" w:lineRule="auto" w:after="120"/>
        <w:ind w:firstLine="0"/>
        <w:jc w:val="both"/>
      </w:pPr>
      <w:r>
        <w:rPr>
          <w:rFonts w:ascii="Times New Roman" w:hAnsi="Times New Roman"/>
          <w:b w:val="0"/>
          <w:i w:val="0"/>
          <w:sz w:val="20"/>
        </w:rPr>
        <w:t>Fonte: Elaborada pelos autores.</w:t>
      </w:r>
    </w:p>
    <w:p>
      <w:pPr>
        <w:pStyle w:val="Heading2"/>
      </w:pPr>
      <w:r>
        <w:t>3.4 Fontes de informação</w:t>
      </w:r>
    </w:p>
    <w:p>
      <w:pPr>
        <w:spacing w:line="240" w:lineRule="auto" w:after="120"/>
        <w:ind w:firstLine="0"/>
        <w:jc w:val="left"/>
      </w:pPr>
      <w:r>
        <w:rPr>
          <w:rFonts w:ascii="Times New Roman" w:hAnsi="Times New Roman"/>
          <w:b w:val="0"/>
          <w:i w:val="0"/>
          <w:sz w:val="20"/>
        </w:rPr>
        <w:t>Tabela 1 – Bases de dados interrogadas e rendimento por base</w:t>
      </w:r>
    </w:p>
    <w:p>
      <w:pPr>
        <w:spacing w:line="240" w:lineRule="auto" w:after="120"/>
        <w:ind w:firstLine="0"/>
        <w:jc w:val="left"/>
      </w:pPr>
      <w:r>
        <w:rPr>
          <w:rFonts w:ascii="Times New Roman" w:hAnsi="Times New Roman"/>
          <w:b w:val="0"/>
          <w:i w:val="0"/>
          <w:sz w:val="20"/>
        </w:rPr>
        <w:t>Tabela 1 – Bases de origem dos registros da biblioteca</w:t>
      </w:r>
    </w:p>
    <w:tbl>
      <w:tblPr>
        <w:tblStyle w:val="TableGrid"/>
        <w:tblW w:type="auto" w:w="0"/>
        <w:tblLayout w:type="autofit"/>
        <w:tblLook w:firstColumn="1" w:firstRow="1" w:lastColumn="0" w:lastRow="0" w:noHBand="0" w:noVBand="1" w:val="04A0"/>
      </w:tblPr>
      <w:tblGrid>
        <w:gridCol w:w="4535"/>
        <w:gridCol w:w="4535"/>
      </w:tblGrid>
      <w:tr>
        <w:tc>
          <w:tcPr>
            <w:tcW w:type="dxa" w:w="4535"/>
          </w:tcPr>
          <w:p>
            <w:r/>
            <w:r>
              <w:rPr>
                <w:rFonts w:ascii="Times New Roman" w:hAnsi="Times New Roman"/>
                <w:b/>
                <w:sz w:val="20"/>
              </w:rPr>
              <w:t>Base</w:t>
            </w:r>
          </w:p>
        </w:tc>
        <w:tc>
          <w:tcPr>
            <w:tcW w:type="dxa" w:w="4535"/>
          </w:tcPr>
          <w:p>
            <w:r/>
            <w:r>
              <w:rPr>
                <w:rFonts w:ascii="Times New Roman" w:hAnsi="Times New Roman"/>
                <w:b/>
                <w:sz w:val="20"/>
              </w:rPr>
              <w:t>Registros</w:t>
            </w:r>
          </w:p>
        </w:tc>
      </w:tr>
      <w:tr>
        <w:tc>
          <w:tcPr>
            <w:tcW w:type="dxa" w:w="4535"/>
          </w:tcPr>
          <w:p>
            <w:r/>
            <w:r>
              <w:rPr>
                <w:rFonts w:ascii="Times New Roman" w:hAnsi="Times New Roman"/>
                <w:b w:val="0"/>
                <w:sz w:val="20"/>
              </w:rPr>
              <w:t>PubMed</w:t>
            </w:r>
          </w:p>
        </w:tc>
        <w:tc>
          <w:tcPr>
            <w:tcW w:type="dxa" w:w="4535"/>
          </w:tcPr>
          <w:p>
            <w:r/>
            <w:r>
              <w:rPr>
                <w:rFonts w:ascii="Times New Roman" w:hAnsi="Times New Roman"/>
                <w:b w:val="0"/>
                <w:sz w:val="20"/>
              </w:rPr>
              <w:t>1875</w:t>
            </w:r>
          </w:p>
        </w:tc>
      </w:tr>
      <w:tr>
        <w:tc>
          <w:tcPr>
            <w:tcW w:type="dxa" w:w="4535"/>
          </w:tcPr>
          <w:p>
            <w:r/>
            <w:r>
              <w:rPr>
                <w:rFonts w:ascii="Times New Roman" w:hAnsi="Times New Roman"/>
                <w:b w:val="0"/>
                <w:sz w:val="20"/>
              </w:rPr>
              <w:t>Scopus</w:t>
            </w:r>
          </w:p>
        </w:tc>
        <w:tc>
          <w:tcPr>
            <w:tcW w:type="dxa" w:w="4535"/>
          </w:tcPr>
          <w:p>
            <w:r/>
            <w:r>
              <w:rPr>
                <w:rFonts w:ascii="Times New Roman" w:hAnsi="Times New Roman"/>
                <w:b w:val="0"/>
                <w:sz w:val="20"/>
              </w:rPr>
              <w:t>240</w:t>
            </w:r>
          </w:p>
        </w:tc>
      </w:tr>
      <w:tr>
        <w:tc>
          <w:tcPr>
            <w:tcW w:type="dxa" w:w="4535"/>
          </w:tcPr>
          <w:p>
            <w:r/>
            <w:r>
              <w:rPr>
                <w:rFonts w:ascii="Times New Roman" w:hAnsi="Times New Roman"/>
                <w:b w:val="0"/>
                <w:sz w:val="20"/>
              </w:rPr>
              <w:t>LILACS</w:t>
            </w:r>
          </w:p>
        </w:tc>
        <w:tc>
          <w:tcPr>
            <w:tcW w:type="dxa" w:w="4535"/>
          </w:tcPr>
          <w:p>
            <w:r/>
            <w:r>
              <w:rPr>
                <w:rFonts w:ascii="Times New Roman" w:hAnsi="Times New Roman"/>
                <w:b w:val="0"/>
                <w:sz w:val="20"/>
              </w:rPr>
              <w:t>147</w:t>
            </w:r>
          </w:p>
        </w:tc>
      </w:tr>
      <w:tr>
        <w:tc>
          <w:tcPr>
            <w:tcW w:type="dxa" w:w="4535"/>
          </w:tcPr>
          <w:p>
            <w:r/>
            <w:r>
              <w:rPr>
                <w:rFonts w:ascii="Times New Roman" w:hAnsi="Times New Roman"/>
                <w:b w:val="0"/>
                <w:sz w:val="20"/>
              </w:rPr>
              <w:t>ScienceDirect</w:t>
            </w:r>
          </w:p>
        </w:tc>
        <w:tc>
          <w:tcPr>
            <w:tcW w:type="dxa" w:w="4535"/>
          </w:tcPr>
          <w:p>
            <w:r/>
            <w:r>
              <w:rPr>
                <w:rFonts w:ascii="Times New Roman" w:hAnsi="Times New Roman"/>
                <w:b w:val="0"/>
                <w:sz w:val="20"/>
              </w:rPr>
              <w:t>127</w:t>
            </w:r>
          </w:p>
        </w:tc>
      </w:tr>
      <w:tr>
        <w:tc>
          <w:tcPr>
            <w:tcW w:type="dxa" w:w="4535"/>
          </w:tcPr>
          <w:p>
            <w:r/>
            <w:r>
              <w:rPr>
                <w:rFonts w:ascii="Times New Roman" w:hAnsi="Times New Roman"/>
                <w:b w:val="0"/>
                <w:sz w:val="20"/>
              </w:rPr>
              <w:t>Web of Science</w:t>
            </w:r>
          </w:p>
        </w:tc>
        <w:tc>
          <w:tcPr>
            <w:tcW w:type="dxa" w:w="4535"/>
          </w:tcPr>
          <w:p>
            <w:r/>
            <w:r>
              <w:rPr>
                <w:rFonts w:ascii="Times New Roman" w:hAnsi="Times New Roman"/>
                <w:b w:val="0"/>
                <w:sz w:val="20"/>
              </w:rPr>
              <w:t>56</w:t>
            </w:r>
          </w:p>
        </w:tc>
      </w:tr>
      <w:tr>
        <w:tc>
          <w:tcPr>
            <w:tcW w:type="dxa" w:w="4535"/>
          </w:tcPr>
          <w:p>
            <w:r/>
            <w:r>
              <w:rPr>
                <w:rFonts w:ascii="Times New Roman" w:hAnsi="Times New Roman"/>
                <w:b/>
                <w:sz w:val="20"/>
              </w:rPr>
              <w:t>Total</w:t>
            </w:r>
          </w:p>
        </w:tc>
        <w:tc>
          <w:tcPr>
            <w:tcW w:type="dxa" w:w="4535"/>
          </w:tcPr>
          <w:p>
            <w:r/>
            <w:r>
              <w:rPr>
                <w:rFonts w:ascii="Times New Roman" w:hAnsi="Times New Roman"/>
                <w:b/>
                <w:sz w:val="20"/>
              </w:rPr>
              <w:t>2445</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Contagem sobre a biblioteca completa, pelo campo de procedência de cada registro. O rendimento por base da execução corrente da busca é gravado em `busca_rendimento` e deve substituir esta tabela assim que a busca por API for reexecutada.</w:t>
      </w:r>
    </w:p>
    <w:p>
      <w:pPr>
        <w:spacing w:line="240" w:lineRule="auto" w:after="120"/>
        <w:ind w:firstLine="0"/>
        <w:jc w:val="both"/>
      </w:pPr>
      <w:r>
        <w:rPr>
          <w:rFonts w:ascii="Times New Roman" w:hAnsi="Times New Roman"/>
          <w:b w:val="0"/>
          <w:i w:val="0"/>
          <w:sz w:val="24"/>
        </w:rPr>
      </w:r>
    </w:p>
    <w:p>
      <w:pPr>
        <w:spacing w:line="240" w:lineRule="auto" w:after="120"/>
        <w:ind w:firstLine="0"/>
        <w:jc w:val="both"/>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A coluna Declarados registra o total informado pela própria base antes da exportação. Divergências decorrem de limites de exportação ou de teto da interface de programação.</w:t>
      </w:r>
    </w:p>
    <w:p>
      <w:pPr>
        <w:spacing w:line="360" w:lineRule="auto" w:after="0"/>
        <w:ind w:firstLine="709"/>
        <w:jc w:val="both"/>
      </w:pPr>
      <w:r>
        <w:rPr>
          <w:rFonts w:ascii="Times New Roman" w:hAnsi="Times New Roman"/>
          <w:b w:val="0"/>
          <w:i w:val="0"/>
          <w:sz w:val="24"/>
        </w:rPr>
        <w:t>A última execução da busca ocorreu em 2026/08/27, informação exigida pelo item 7 do PRISMA 2020 e registrada automaticamente a cada execução.</w:t>
      </w:r>
    </w:p>
    <w:p>
      <w:pPr>
        <w:spacing w:line="360" w:lineRule="auto" w:after="0"/>
        <w:ind w:firstLine="709"/>
        <w:jc w:val="both"/>
      </w:pPr>
      <w:r>
        <w:rPr>
          <w:rFonts w:ascii="Times New Roman" w:hAnsi="Times New Roman"/>
          <w:b w:val="0"/>
          <w:i w:val="0"/>
          <w:sz w:val="24"/>
        </w:rPr>
        <w:t>Três observações sobre a cobertura devem ser declaradas. A primeira: o Europe PMC indexa integralmente o MEDLINE, de modo que sua interrogação em paralelo ao PubMed produz sobreposição quase total; os dois constam separadamente na contagem de identificação porque o PRISMA a pede por base, e a deduplicação resolve a sobreposição, mas os totais por base não devem ser lidos como conjuntos independentes. A segunda: o SPORTDiscus, que indexa periódicos de psicologia do esporte não cobertos pelo MEDLINE, exige credencial institucional específica indisponível à equipe, e a cobertura permanece incompleta nessa frente. A terceira: o Google Scholar foi consultado apenas como verificação de sensibilidade da estratégia, não como fonte de identificação, uma vez que não oferece exportação estruturada nem consulta reexecutável; sua sintaxe consta do Apêndice A para permitir a reprodução dessa verificação, e nenhum registro dele integra a contagem do PRISMA.</w:t>
      </w:r>
    </w:p>
    <w:p>
      <w:pPr>
        <w:pStyle w:val="Heading2"/>
      </w:pPr>
      <w:r>
        <w:t>3.5 Estratégia de busca</w:t>
      </w:r>
    </w:p>
    <w:p>
      <w:pPr>
        <w:spacing w:line="360" w:lineRule="auto" w:after="0"/>
        <w:ind w:firstLine="709"/>
        <w:jc w:val="both"/>
      </w:pPr>
      <w:r>
        <w:rPr>
          <w:rFonts w:ascii="Times New Roman" w:hAnsi="Times New Roman"/>
          <w:b w:val="0"/>
          <w:i w:val="0"/>
          <w:sz w:val="24"/>
        </w:rPr>
        <w:t>A estratégia combinou vocabulário controlado e termos livres em três blocos conceituais. O bloco de conceito reuniu 16 descritores MeSH e 62 termos livres; o de contexto, 6 descritores e 27 termos livres; e o de população, 16 termos exclusivamente livres. Para a busca em português e espanhol, empregaram-se 15 descritores DeCS. A Figura 1 apresenta a estrutura lógica adotada.</w:t>
      </w:r>
    </w:p>
    <w:p>
      <w:pPr>
        <w:spacing w:line="240" w:lineRule="auto" w:after="120"/>
        <w:ind w:firstLine="0"/>
        <w:jc w:val="left"/>
      </w:pPr>
      <w:r>
        <w:rPr>
          <w:rFonts w:ascii="Times New Roman" w:hAnsi="Times New Roman"/>
          <w:b w:val="0"/>
          <w:i w:val="0"/>
          <w:sz w:val="20"/>
        </w:rPr>
        <w:t>Figura 1 – Framework analítico da estratégia de busca</w:t>
      </w:r>
    </w:p>
    <w:p>
      <w:pPr>
        <w:spacing w:line="240" w:lineRule="auto" w:after="120"/>
        <w:ind w:firstLine="0"/>
        <w:jc w:val="both"/>
      </w:pPr>
      <w:r>
        <w:rPr>
          <w:rFonts w:ascii="Times New Roman" w:hAnsi="Times New Roman"/>
          <w:b w:val="0"/>
          <w:i w:val="0"/>
          <w:sz w:val="20"/>
        </w:rPr>
        <w:t>Fonte: Elaborada pelos autores.</w:t>
      </w:r>
    </w:p>
    <w:p>
      <w:pPr>
        <w:spacing w:line="360" w:lineRule="auto" w:after="0"/>
        <w:ind w:firstLine="709"/>
        <w:jc w:val="both"/>
      </w:pPr>
      <w:r>
        <w:rPr>
          <w:rFonts w:ascii="Times New Roman" w:hAnsi="Times New Roman"/>
          <w:b w:val="0"/>
          <w:i w:val="0"/>
          <w:sz w:val="24"/>
        </w:rPr>
        <w:t>Dentro de cada bloco os termos foram combinados pelo operador OU, e os três blocos entre si pelo operador E. A união entre descritor e termo livre no mesmo bloco decorre de uma propriedade da indexação: o indexador atribui o descritor ainda que o autor não empregue a palavra no resumo, ao passo que artigos recentes, não indexados, são alcançados apenas pelo termo livre. Cada abordagem isolada perde estudos recuperados pela outra.</w:t>
      </w:r>
    </w:p>
    <w:p>
      <w:pPr>
        <w:spacing w:line="360" w:lineRule="auto" w:after="0"/>
        <w:ind w:firstLine="709"/>
        <w:jc w:val="both"/>
      </w:pPr>
      <w:r>
        <w:rPr>
          <w:rFonts w:ascii="Times New Roman" w:hAnsi="Times New Roman"/>
          <w:b w:val="0"/>
          <w:i w:val="0"/>
          <w:sz w:val="24"/>
        </w:rPr>
        <w:t>Registra-se limitação estrutural relevante: não existe descritor MeSH para handebol, verificação realizada diretamente no MeSH Browser da National Library of Medicine. O bloco de população depende, por conseguinte, integralmente de termos livres.</w:t>
      </w:r>
    </w:p>
    <w:p>
      <w:pPr>
        <w:spacing w:line="360" w:lineRule="auto" w:after="0"/>
        <w:ind w:firstLine="709"/>
        <w:jc w:val="both"/>
      </w:pPr>
      <w:r>
        <w:rPr>
          <w:rFonts w:ascii="Times New Roman" w:hAnsi="Times New Roman"/>
          <w:b w:val="0"/>
          <w:i w:val="0"/>
          <w:sz w:val="24"/>
        </w:rPr>
        <w:t>Para quantificar a contribuição do vocabulário controlado, cada bloco foi submetido isoladamente ao PubMed, conforme a Tabela 2. A população combinada apenas a descritores recuperou 148 registros; apenas a termos livres, 265; e a ambos, 351. Os descritores acrescentaram 86 registros, equivalentes a 32% do rendimento obtido por termo livre. A inclusão do bloco de contexto reduziu o total a 302, perda deliberada de sensibilidade em favor da especificidade.</w:t>
      </w:r>
    </w:p>
    <w:p>
      <w:pPr>
        <w:spacing w:line="240" w:lineRule="auto" w:after="120"/>
        <w:ind w:firstLine="0"/>
        <w:jc w:val="left"/>
      </w:pPr>
      <w:r>
        <w:rPr>
          <w:rFonts w:ascii="Times New Roman" w:hAnsi="Times New Roman"/>
          <w:b w:val="0"/>
          <w:i w:val="0"/>
          <w:sz w:val="20"/>
        </w:rPr>
        <w:t>Tabela 2 – Rendimento de cada bloco da estratégia no PubMed</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Linha</w:t>
            </w:r>
          </w:p>
        </w:tc>
        <w:tc>
          <w:tcPr>
            <w:tcW w:type="dxa" w:w="3024"/>
          </w:tcPr>
          <w:p>
            <w:r/>
            <w:r>
              <w:rPr>
                <w:rFonts w:ascii="Times New Roman" w:hAnsi="Times New Roman"/>
                <w:b/>
                <w:sz w:val="20"/>
              </w:rPr>
              <w:t>Bloco submetido</w:t>
            </w:r>
          </w:p>
        </w:tc>
        <w:tc>
          <w:tcPr>
            <w:tcW w:type="dxa" w:w="3024"/>
          </w:tcPr>
          <w:p>
            <w:r/>
            <w:r>
              <w:rPr>
                <w:rFonts w:ascii="Times New Roman" w:hAnsi="Times New Roman"/>
                <w:b/>
                <w:sz w:val="20"/>
              </w:rPr>
              <w:t>Registros</w:t>
            </w:r>
          </w:p>
        </w:tc>
      </w:tr>
      <w:tr>
        <w:tc>
          <w:tcPr>
            <w:tcW w:type="dxa" w:w="3024"/>
          </w:tcPr>
          <w:p>
            <w:r/>
            <w:r>
              <w:rPr>
                <w:rFonts w:ascii="Times New Roman" w:hAnsi="Times New Roman"/>
                <w:b w:val="0"/>
                <w:sz w:val="20"/>
              </w:rPr>
              <w:t>#1</w:t>
            </w:r>
          </w:p>
        </w:tc>
        <w:tc>
          <w:tcPr>
            <w:tcW w:type="dxa" w:w="3024"/>
          </w:tcPr>
          <w:p>
            <w:r/>
            <w:r>
              <w:rPr>
                <w:rFonts w:ascii="Times New Roman" w:hAnsi="Times New Roman"/>
                <w:b w:val="0"/>
                <w:sz w:val="20"/>
              </w:rPr>
              <w:t>População (P): texto livre; handebol não tem descritor MeSH</w:t>
            </w:r>
          </w:p>
        </w:tc>
        <w:tc>
          <w:tcPr>
            <w:tcW w:type="dxa" w:w="3024"/>
          </w:tcPr>
          <w:p>
            <w:r/>
            <w:r>
              <w:rPr>
                <w:rFonts w:ascii="Times New Roman" w:hAnsi="Times New Roman"/>
                <w:b w:val="0"/>
                <w:sz w:val="20"/>
              </w:rPr>
              <w:t>2.125</w:t>
            </w:r>
          </w:p>
        </w:tc>
      </w:tr>
      <w:tr>
        <w:tc>
          <w:tcPr>
            <w:tcW w:type="dxa" w:w="3024"/>
          </w:tcPr>
          <w:p>
            <w:r/>
            <w:r>
              <w:rPr>
                <w:rFonts w:ascii="Times New Roman" w:hAnsi="Times New Roman"/>
                <w:b w:val="0"/>
                <w:sz w:val="20"/>
              </w:rPr>
              <w:t>#2</w:t>
            </w:r>
          </w:p>
        </w:tc>
        <w:tc>
          <w:tcPr>
            <w:tcW w:type="dxa" w:w="3024"/>
          </w:tcPr>
          <w:p>
            <w:r/>
            <w:r>
              <w:rPr>
                <w:rFonts w:ascii="Times New Roman" w:hAnsi="Times New Roman"/>
                <w:b w:val="0"/>
                <w:sz w:val="20"/>
              </w:rPr>
              <w:t>Conceito (C): descritores MeSH</w:t>
            </w:r>
          </w:p>
        </w:tc>
        <w:tc>
          <w:tcPr>
            <w:tcW w:type="dxa" w:w="3024"/>
          </w:tcPr>
          <w:p>
            <w:r/>
            <w:r>
              <w:rPr>
                <w:rFonts w:ascii="Times New Roman" w:hAnsi="Times New Roman"/>
                <w:b w:val="0"/>
                <w:sz w:val="20"/>
              </w:rPr>
              <w:t>1.637.165</w:t>
            </w:r>
          </w:p>
        </w:tc>
      </w:tr>
      <w:tr>
        <w:tc>
          <w:tcPr>
            <w:tcW w:type="dxa" w:w="3024"/>
          </w:tcPr>
          <w:p>
            <w:r/>
            <w:r>
              <w:rPr>
                <w:rFonts w:ascii="Times New Roman" w:hAnsi="Times New Roman"/>
                <w:b w:val="0"/>
                <w:sz w:val="20"/>
              </w:rPr>
              <w:t>#3</w:t>
            </w:r>
          </w:p>
        </w:tc>
        <w:tc>
          <w:tcPr>
            <w:tcW w:type="dxa" w:w="3024"/>
          </w:tcPr>
          <w:p>
            <w:r/>
            <w:r>
              <w:rPr>
                <w:rFonts w:ascii="Times New Roman" w:hAnsi="Times New Roman"/>
                <w:b w:val="0"/>
                <w:sz w:val="20"/>
              </w:rPr>
              <w:t>Conceito (C): texto livre</w:t>
            </w:r>
          </w:p>
        </w:tc>
        <w:tc>
          <w:tcPr>
            <w:tcW w:type="dxa" w:w="3024"/>
          </w:tcPr>
          <w:p>
            <w:r/>
            <w:r>
              <w:rPr>
                <w:rFonts w:ascii="Times New Roman" w:hAnsi="Times New Roman"/>
                <w:b w:val="0"/>
                <w:sz w:val="20"/>
              </w:rPr>
              <w:t>3.149.322</w:t>
            </w:r>
          </w:p>
        </w:tc>
      </w:tr>
      <w:tr>
        <w:tc>
          <w:tcPr>
            <w:tcW w:type="dxa" w:w="3024"/>
          </w:tcPr>
          <w:p>
            <w:r/>
            <w:r>
              <w:rPr>
                <w:rFonts w:ascii="Times New Roman" w:hAnsi="Times New Roman"/>
                <w:b w:val="0"/>
                <w:sz w:val="20"/>
              </w:rPr>
              <w:t>#4</w:t>
            </w:r>
          </w:p>
        </w:tc>
        <w:tc>
          <w:tcPr>
            <w:tcW w:type="dxa" w:w="3024"/>
          </w:tcPr>
          <w:p>
            <w:r/>
            <w:r>
              <w:rPr>
                <w:rFonts w:ascii="Times New Roman" w:hAnsi="Times New Roman"/>
                <w:b w:val="0"/>
                <w:sz w:val="20"/>
              </w:rPr>
              <w:t>Conceito combinado: #2 OU #3</w:t>
            </w:r>
          </w:p>
        </w:tc>
        <w:tc>
          <w:tcPr>
            <w:tcW w:type="dxa" w:w="3024"/>
          </w:tcPr>
          <w:p>
            <w:r/>
            <w:r>
              <w:rPr>
                <w:rFonts w:ascii="Times New Roman" w:hAnsi="Times New Roman"/>
                <w:b w:val="0"/>
                <w:sz w:val="20"/>
              </w:rPr>
              <w:t>3.974.474</w:t>
            </w:r>
          </w:p>
        </w:tc>
      </w:tr>
      <w:tr>
        <w:tc>
          <w:tcPr>
            <w:tcW w:type="dxa" w:w="3024"/>
          </w:tcPr>
          <w:p>
            <w:r/>
            <w:r>
              <w:rPr>
                <w:rFonts w:ascii="Times New Roman" w:hAnsi="Times New Roman"/>
                <w:b w:val="0"/>
                <w:sz w:val="20"/>
              </w:rPr>
              <w:t>#5</w:t>
            </w:r>
          </w:p>
        </w:tc>
        <w:tc>
          <w:tcPr>
            <w:tcW w:type="dxa" w:w="3024"/>
          </w:tcPr>
          <w:p>
            <w:r/>
            <w:r>
              <w:rPr>
                <w:rFonts w:ascii="Times New Roman" w:hAnsi="Times New Roman"/>
                <w:b w:val="0"/>
                <w:sz w:val="20"/>
              </w:rPr>
              <w:t>Contexto (Ctx): descritores MeSH</w:t>
            </w:r>
          </w:p>
        </w:tc>
        <w:tc>
          <w:tcPr>
            <w:tcW w:type="dxa" w:w="3024"/>
          </w:tcPr>
          <w:p>
            <w:r/>
            <w:r>
              <w:rPr>
                <w:rFonts w:ascii="Times New Roman" w:hAnsi="Times New Roman"/>
                <w:b w:val="0"/>
                <w:sz w:val="20"/>
              </w:rPr>
              <w:t>273.375</w:t>
            </w:r>
          </w:p>
        </w:tc>
      </w:tr>
      <w:tr>
        <w:tc>
          <w:tcPr>
            <w:tcW w:type="dxa" w:w="3024"/>
          </w:tcPr>
          <w:p>
            <w:r/>
            <w:r>
              <w:rPr>
                <w:rFonts w:ascii="Times New Roman" w:hAnsi="Times New Roman"/>
                <w:b w:val="0"/>
                <w:sz w:val="20"/>
              </w:rPr>
              <w:t>#6</w:t>
            </w:r>
          </w:p>
        </w:tc>
        <w:tc>
          <w:tcPr>
            <w:tcW w:type="dxa" w:w="3024"/>
          </w:tcPr>
          <w:p>
            <w:r/>
            <w:r>
              <w:rPr>
                <w:rFonts w:ascii="Times New Roman" w:hAnsi="Times New Roman"/>
                <w:b w:val="0"/>
                <w:sz w:val="20"/>
              </w:rPr>
              <w:t>Contexto (Ctx): texto livre</w:t>
            </w:r>
          </w:p>
        </w:tc>
        <w:tc>
          <w:tcPr>
            <w:tcW w:type="dxa" w:w="3024"/>
          </w:tcPr>
          <w:p>
            <w:r/>
            <w:r>
              <w:rPr>
                <w:rFonts w:ascii="Times New Roman" w:hAnsi="Times New Roman"/>
                <w:b w:val="0"/>
                <w:sz w:val="20"/>
              </w:rPr>
              <w:t>2.833.723</w:t>
            </w:r>
          </w:p>
        </w:tc>
      </w:tr>
      <w:tr>
        <w:tc>
          <w:tcPr>
            <w:tcW w:type="dxa" w:w="3024"/>
          </w:tcPr>
          <w:p>
            <w:r/>
            <w:r>
              <w:rPr>
                <w:rFonts w:ascii="Times New Roman" w:hAnsi="Times New Roman"/>
                <w:b w:val="0"/>
                <w:sz w:val="20"/>
              </w:rPr>
              <w:t>#7</w:t>
            </w:r>
          </w:p>
        </w:tc>
        <w:tc>
          <w:tcPr>
            <w:tcW w:type="dxa" w:w="3024"/>
          </w:tcPr>
          <w:p>
            <w:r/>
            <w:r>
              <w:rPr>
                <w:rFonts w:ascii="Times New Roman" w:hAnsi="Times New Roman"/>
                <w:b w:val="0"/>
                <w:sz w:val="20"/>
              </w:rPr>
              <w:t>Contexto combinado: #5 OU #6</w:t>
            </w:r>
          </w:p>
        </w:tc>
        <w:tc>
          <w:tcPr>
            <w:tcW w:type="dxa" w:w="3024"/>
          </w:tcPr>
          <w:p>
            <w:r/>
            <w:r>
              <w:rPr>
                <w:rFonts w:ascii="Times New Roman" w:hAnsi="Times New Roman"/>
                <w:b w:val="0"/>
                <w:sz w:val="20"/>
              </w:rPr>
              <w:t>3.008.173</w:t>
            </w:r>
          </w:p>
        </w:tc>
      </w:tr>
      <w:tr>
        <w:tc>
          <w:tcPr>
            <w:tcW w:type="dxa" w:w="3024"/>
          </w:tcPr>
          <w:p>
            <w:r/>
            <w:r>
              <w:rPr>
                <w:rFonts w:ascii="Times New Roman" w:hAnsi="Times New Roman"/>
                <w:b w:val="0"/>
                <w:sz w:val="20"/>
              </w:rPr>
              <w:t>#8</w:t>
            </w:r>
          </w:p>
        </w:tc>
        <w:tc>
          <w:tcPr>
            <w:tcW w:type="dxa" w:w="3024"/>
          </w:tcPr>
          <w:p>
            <w:r/>
            <w:r>
              <w:rPr>
                <w:rFonts w:ascii="Times New Roman" w:hAnsi="Times New Roman"/>
                <w:b w:val="0"/>
                <w:sz w:val="20"/>
              </w:rPr>
              <w:t>População E conceito, só MeSH</w:t>
            </w:r>
          </w:p>
        </w:tc>
        <w:tc>
          <w:tcPr>
            <w:tcW w:type="dxa" w:w="3024"/>
          </w:tcPr>
          <w:p>
            <w:r/>
            <w:r>
              <w:rPr>
                <w:rFonts w:ascii="Times New Roman" w:hAnsi="Times New Roman"/>
                <w:b w:val="0"/>
                <w:sz w:val="20"/>
              </w:rPr>
              <w:t>148</w:t>
            </w:r>
          </w:p>
        </w:tc>
      </w:tr>
      <w:tr>
        <w:tc>
          <w:tcPr>
            <w:tcW w:type="dxa" w:w="3024"/>
          </w:tcPr>
          <w:p>
            <w:r/>
            <w:r>
              <w:rPr>
                <w:rFonts w:ascii="Times New Roman" w:hAnsi="Times New Roman"/>
                <w:b w:val="0"/>
                <w:sz w:val="20"/>
              </w:rPr>
              <w:t>#9</w:t>
            </w:r>
          </w:p>
        </w:tc>
        <w:tc>
          <w:tcPr>
            <w:tcW w:type="dxa" w:w="3024"/>
          </w:tcPr>
          <w:p>
            <w:r/>
            <w:r>
              <w:rPr>
                <w:rFonts w:ascii="Times New Roman" w:hAnsi="Times New Roman"/>
                <w:b w:val="0"/>
                <w:sz w:val="20"/>
              </w:rPr>
              <w:t>População E conceito, só texto livre</w:t>
            </w:r>
          </w:p>
        </w:tc>
        <w:tc>
          <w:tcPr>
            <w:tcW w:type="dxa" w:w="3024"/>
          </w:tcPr>
          <w:p>
            <w:r/>
            <w:r>
              <w:rPr>
                <w:rFonts w:ascii="Times New Roman" w:hAnsi="Times New Roman"/>
                <w:b w:val="0"/>
                <w:sz w:val="20"/>
              </w:rPr>
              <w:t>265</w:t>
            </w:r>
          </w:p>
        </w:tc>
      </w:tr>
      <w:tr>
        <w:tc>
          <w:tcPr>
            <w:tcW w:type="dxa" w:w="3024"/>
          </w:tcPr>
          <w:p>
            <w:r/>
            <w:r>
              <w:rPr>
                <w:rFonts w:ascii="Times New Roman" w:hAnsi="Times New Roman"/>
                <w:b w:val="0"/>
                <w:sz w:val="20"/>
              </w:rPr>
              <w:t>#10</w:t>
            </w:r>
          </w:p>
        </w:tc>
        <w:tc>
          <w:tcPr>
            <w:tcW w:type="dxa" w:w="3024"/>
          </w:tcPr>
          <w:p>
            <w:r/>
            <w:r>
              <w:rPr>
                <w:rFonts w:ascii="Times New Roman" w:hAnsi="Times New Roman"/>
                <w:b w:val="0"/>
                <w:sz w:val="20"/>
              </w:rPr>
              <w:t>População E conceito, MeSH + texto livre</w:t>
            </w:r>
          </w:p>
        </w:tc>
        <w:tc>
          <w:tcPr>
            <w:tcW w:type="dxa" w:w="3024"/>
          </w:tcPr>
          <w:p>
            <w:r/>
            <w:r>
              <w:rPr>
                <w:rFonts w:ascii="Times New Roman" w:hAnsi="Times New Roman"/>
                <w:b w:val="0"/>
                <w:sz w:val="20"/>
              </w:rPr>
              <w:t>351</w:t>
            </w:r>
          </w:p>
        </w:tc>
      </w:tr>
      <w:tr>
        <w:tc>
          <w:tcPr>
            <w:tcW w:type="dxa" w:w="3024"/>
          </w:tcPr>
          <w:p>
            <w:r/>
            <w:r>
              <w:rPr>
                <w:rFonts w:ascii="Times New Roman" w:hAnsi="Times New Roman"/>
                <w:b w:val="0"/>
                <w:sz w:val="20"/>
              </w:rPr>
              <w:t>#11</w:t>
            </w:r>
          </w:p>
        </w:tc>
        <w:tc>
          <w:tcPr>
            <w:tcW w:type="dxa" w:w="3024"/>
          </w:tcPr>
          <w:p>
            <w:r/>
            <w:r>
              <w:rPr>
                <w:rFonts w:ascii="Times New Roman" w:hAnsi="Times New Roman"/>
                <w:b w:val="0"/>
                <w:sz w:val="20"/>
              </w:rPr>
              <w:t>População E conceito E contexto: ESTRATÉGIA FINAL</w:t>
            </w:r>
          </w:p>
        </w:tc>
        <w:tc>
          <w:tcPr>
            <w:tcW w:type="dxa" w:w="3024"/>
          </w:tcPr>
          <w:p>
            <w:r/>
            <w:r>
              <w:rPr>
                <w:rFonts w:ascii="Times New Roman" w:hAnsi="Times New Roman"/>
                <w:b w:val="0"/>
                <w:sz w:val="20"/>
              </w:rPr>
              <w:t>302</w:t>
            </w:r>
          </w:p>
        </w:tc>
      </w:tr>
    </w:tbl>
    <w:p>
      <w:pPr>
        <w:spacing w:line="240" w:lineRule="auto" w:after="120"/>
        <w:ind w:firstLine="0"/>
        <w:jc w:val="both"/>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As estratégias completas, na sintaxe de cada base, constam do Apêndice A.</w:t>
      </w:r>
    </w:p>
    <w:p>
      <w:pPr>
        <w:spacing w:line="360" w:lineRule="auto" w:after="0"/>
        <w:ind w:firstLine="709"/>
        <w:jc w:val="both"/>
      </w:pPr>
      <w:r>
        <w:rPr>
          <w:rFonts w:ascii="Times New Roman" w:hAnsi="Times New Roman"/>
          <w:b w:val="0"/>
          <w:i w:val="0"/>
          <w:sz w:val="24"/>
        </w:rPr>
        <w:t>Consultas que excederam o limite de comprimento das interfaces foram submetidas por método POST, quando suportado, ou fracionadas por família conceitual, com posterior união dos resultados por identificador digital. O fracionamento preserva o conjunto recuperado, uma vez que o bloco de conceito consiste em disjunção, e a disjunção distribui sobre a conjunção.</w:t>
      </w:r>
    </w:p>
    <w:p>
      <w:pPr>
        <w:pStyle w:val="Heading2"/>
      </w:pPr>
      <w:r>
        <w:t>3.6 Processo de seleção</w:t>
      </w:r>
    </w:p>
    <w:p>
      <w:pPr>
        <w:spacing w:line="360" w:lineRule="auto" w:after="0"/>
        <w:ind w:firstLine="709"/>
        <w:jc w:val="both"/>
      </w:pPr>
      <w:r>
        <w:rPr>
          <w:rFonts w:ascii="Times New Roman" w:hAnsi="Times New Roman"/>
          <w:b w:val="0"/>
          <w:i w:val="0"/>
          <w:sz w:val="24"/>
        </w:rPr>
        <w:t>A seleção compreende duas etapas sequenciais. Na primeira, a triagem inicial examina título, resumo e palavras-chave. Na segunda, a avaliação de elegibilidade examina o texto completo dos registros aprovados. Ambas são conduzidas por dois revisores de forma independente e cega quanto à decisão do outro, e cada exclusão é registrada com o critério que a motivou.</w:t>
      </w:r>
    </w:p>
    <w:p>
      <w:pPr>
        <w:spacing w:line="360" w:lineRule="auto" w:after="0"/>
        <w:ind w:firstLine="709"/>
        <w:jc w:val="both"/>
      </w:pPr>
      <w:r>
        <w:rPr>
          <w:rFonts w:ascii="Times New Roman" w:hAnsi="Times New Roman"/>
          <w:b w:val="0"/>
          <w:i w:val="0"/>
          <w:sz w:val="24"/>
        </w:rPr>
        <w:t>Registros desprovidos de resumo e de palavras-chave não são submetidos à triagem por leitura, uma vez que a decisão fundada exclusivamente no título produziria exclusão sem base documental. Tais registros permanecem em situação de análise até a recuperação manual do resumo, e constam do diagrama PRISMA nessa condição.</w:t>
      </w:r>
    </w:p>
    <w:p>
      <w:pPr>
        <w:pStyle w:val="Heading2"/>
      </w:pPr>
      <w:r>
        <w:t>3.7 Aferição da concordância entre revisores</w:t>
      </w:r>
    </w:p>
    <w:p>
      <w:pPr>
        <w:spacing w:line="360" w:lineRule="auto" w:after="0"/>
        <w:ind w:firstLine="709"/>
        <w:jc w:val="both"/>
      </w:pPr>
      <w:r>
        <w:rPr>
          <w:rFonts w:ascii="Times New Roman" w:hAnsi="Times New Roman"/>
          <w:b w:val="0"/>
          <w:i w:val="0"/>
          <w:sz w:val="24"/>
        </w:rPr>
        <w:t>A concordância é aferida pela proporção de acordo observado e pelo coeficiente kappa de Cohen, acompanhado de intervalo de confiança de 95% obtido por variância assintótica. Reconhece-se, contudo, que o kappa apresenta comportamento instável quando a distribuição entre categorias é desbalanceada, situação esperada em triagens nas quais a maioria dos registros é excluída. Nessas condições, elevada concordância observada convive com coeficientes reduzidos.</w:t>
      </w:r>
    </w:p>
    <w:p>
      <w:pPr>
        <w:spacing w:line="360" w:lineRule="auto" w:after="0"/>
        <w:ind w:firstLine="709"/>
        <w:jc w:val="both"/>
      </w:pPr>
      <w:r>
        <w:rPr>
          <w:rFonts w:ascii="Times New Roman" w:hAnsi="Times New Roman"/>
          <w:b w:val="0"/>
          <w:i w:val="0"/>
          <w:sz w:val="24"/>
        </w:rPr>
        <w:t>Por essa razão, reportam-se adicionalmente o índice de prevalência, o índice de viés e o coeficiente ajustado por ambos, bem como o coeficiente AC1, que estima a concordância ao acaso sem pressupor classificação independente. A diferença entre o coeficiente ajustado e o kappa quantifica o quanto o desbalanço deprime a estimativa. Relatam-se também a concordância específica positiva e negativa, dado que concordar quanto à inclusão constitui decisão mais exigente, e a concordância quanto ao critério de exclusão adotado, pois dois revisores podem excluir o mesmo estudo por razões distintas, divergência que os coeficientes globais não capturam e que altera o diagrama PRISMA. Divergências são submetidas a um terceiro revisor.</w:t>
      </w:r>
    </w:p>
    <w:p>
      <w:pPr>
        <w:pStyle w:val="Heading2"/>
      </w:pPr>
      <w:r>
        <w:t>3.8 Coleta de dados e itens extraídos</w:t>
      </w:r>
    </w:p>
    <w:p>
      <w:pPr>
        <w:spacing w:line="360" w:lineRule="auto" w:after="0"/>
        <w:ind w:firstLine="709"/>
        <w:jc w:val="both"/>
      </w:pPr>
      <w:r>
        <w:rPr>
          <w:rFonts w:ascii="Times New Roman" w:hAnsi="Times New Roman"/>
          <w:b w:val="0"/>
          <w:i w:val="0"/>
          <w:sz w:val="24"/>
        </w:rPr>
        <w:t>A extração é realizada a partir do texto completo, em formulário padronizado, por um revisor e conferida integralmente por um segundo. Cada campo extraído é acompanhado do trecho textual que o sustenta, de modo que qualquer valor tabelado possa ser conferido contra a fonte sem nova busca no documento original. Dados ausentes são buscados no material suplementar e, na sua falta, solicitados aos autores correspondentes; a ausência persistente é registrada como tal, e não substituída por estimativa. O Quadro 3 apresenta os domínios do formulário.</w:t>
      </w:r>
    </w:p>
    <w:p>
      <w:pPr>
        <w:spacing w:line="240" w:lineRule="auto" w:after="120"/>
        <w:ind w:firstLine="0"/>
        <w:jc w:val="left"/>
      </w:pPr>
      <w:r>
        <w:rPr>
          <w:rFonts w:ascii="Times New Roman" w:hAnsi="Times New Roman"/>
          <w:b w:val="0"/>
          <w:i w:val="0"/>
          <w:sz w:val="20"/>
        </w:rPr>
        <w:t>Quadro 3 – Domínios e campos do formulário de extração</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b/>
                <w:sz w:val="20"/>
              </w:rPr>
              <w:t>Domínio</w:t>
            </w:r>
          </w:p>
        </w:tc>
        <w:tc>
          <w:tcPr>
            <w:tcW w:type="dxa" w:w="4535"/>
          </w:tcPr>
          <w:p>
            <w:r/>
            <w:r>
              <w:rPr>
                <w:rFonts w:ascii="Times New Roman" w:hAnsi="Times New Roman"/>
                <w:b/>
                <w:sz w:val="20"/>
              </w:rPr>
              <w:t>Campos</w:t>
            </w:r>
          </w:p>
        </w:tc>
      </w:tr>
      <w:tr>
        <w:tc>
          <w:tcPr>
            <w:tcW w:type="dxa" w:w="4535"/>
          </w:tcPr>
          <w:p>
            <w:r/>
            <w:r>
              <w:rPr>
                <w:rFonts w:ascii="Times New Roman" w:hAnsi="Times New Roman"/>
                <w:b w:val="0"/>
                <w:sz w:val="20"/>
              </w:rPr>
              <w:t>Identificação</w:t>
            </w:r>
          </w:p>
        </w:tc>
        <w:tc>
          <w:tcPr>
            <w:tcW w:type="dxa" w:w="4535"/>
          </w:tcPr>
          <w:p>
            <w:r/>
            <w:r>
              <w:rPr>
                <w:rFonts w:ascii="Times New Roman" w:hAnsi="Times New Roman"/>
                <w:b w:val="0"/>
                <w:sz w:val="20"/>
              </w:rPr>
              <w:t>Autoria; ano; país de origem da amostra; periódico; idioma; identificador persistente</w:t>
            </w:r>
          </w:p>
        </w:tc>
      </w:tr>
      <w:tr>
        <w:tc>
          <w:tcPr>
            <w:tcW w:type="dxa" w:w="4535"/>
          </w:tcPr>
          <w:p>
            <w:r/>
            <w:r>
              <w:rPr>
                <w:rFonts w:ascii="Times New Roman" w:hAnsi="Times New Roman"/>
                <w:b w:val="0"/>
                <w:sz w:val="20"/>
              </w:rPr>
              <w:t>Amostra</w:t>
            </w:r>
          </w:p>
        </w:tc>
        <w:tc>
          <w:tcPr>
            <w:tcW w:type="dxa" w:w="4535"/>
          </w:tcPr>
          <w:p>
            <w:r/>
            <w:r>
              <w:rPr>
                <w:rFonts w:ascii="Times New Roman" w:hAnsi="Times New Roman"/>
                <w:b w:val="0"/>
                <w:sz w:val="20"/>
              </w:rPr>
              <w:t>Tamanho total; distribuição por sexo; idade média e desvio-padrão; nível competitivo; posição de jogo</w:t>
            </w:r>
          </w:p>
        </w:tc>
      </w:tr>
      <w:tr>
        <w:tc>
          <w:tcPr>
            <w:tcW w:type="dxa" w:w="4535"/>
          </w:tcPr>
          <w:p>
            <w:r/>
            <w:r>
              <w:rPr>
                <w:rFonts w:ascii="Times New Roman" w:hAnsi="Times New Roman"/>
                <w:b w:val="0"/>
                <w:sz w:val="20"/>
              </w:rPr>
              <w:t>Delineamento</w:t>
            </w:r>
          </w:p>
        </w:tc>
        <w:tc>
          <w:tcPr>
            <w:tcW w:type="dxa" w:w="4535"/>
          </w:tcPr>
          <w:p>
            <w:r/>
            <w:r>
              <w:rPr>
                <w:rFonts w:ascii="Times New Roman" w:hAnsi="Times New Roman"/>
                <w:b w:val="0"/>
                <w:sz w:val="20"/>
              </w:rPr>
              <w:t>Tipo de estudo; número e momento das aferições; grupo de comparação; duração do acompanhamento</w:t>
            </w:r>
          </w:p>
        </w:tc>
      </w:tr>
      <w:tr>
        <w:tc>
          <w:tcPr>
            <w:tcW w:type="dxa" w:w="4535"/>
          </w:tcPr>
          <w:p>
            <w:r/>
            <w:r>
              <w:rPr>
                <w:rFonts w:ascii="Times New Roman" w:hAnsi="Times New Roman"/>
                <w:b w:val="0"/>
                <w:sz w:val="20"/>
              </w:rPr>
              <w:t>Medida psicológica</w:t>
            </w:r>
          </w:p>
        </w:tc>
        <w:tc>
          <w:tcPr>
            <w:tcW w:type="dxa" w:w="4535"/>
          </w:tcPr>
          <w:p>
            <w:r/>
            <w:r>
              <w:rPr>
                <w:rFonts w:ascii="Times New Roman" w:hAnsi="Times New Roman"/>
                <w:b w:val="0"/>
                <w:sz w:val="20"/>
              </w:rPr>
              <w:t>Construto aferido; instrumento; versão e idioma; evidências psicométricas relatadas; contexto da aferição</w:t>
            </w:r>
          </w:p>
        </w:tc>
      </w:tr>
      <w:tr>
        <w:tc>
          <w:tcPr>
            <w:tcW w:type="dxa" w:w="4535"/>
          </w:tcPr>
          <w:p>
            <w:r/>
            <w:r>
              <w:rPr>
                <w:rFonts w:ascii="Times New Roman" w:hAnsi="Times New Roman"/>
                <w:b w:val="0"/>
                <w:sz w:val="20"/>
              </w:rPr>
              <w:t>Análise e relato</w:t>
            </w:r>
          </w:p>
        </w:tc>
        <w:tc>
          <w:tcPr>
            <w:tcW w:type="dxa" w:w="4535"/>
          </w:tcPr>
          <w:p>
            <w:r/>
            <w:r>
              <w:rPr>
                <w:rFonts w:ascii="Times New Roman" w:hAnsi="Times New Roman"/>
                <w:b w:val="0"/>
                <w:sz w:val="20"/>
              </w:rPr>
              <w:t>Testes estatísticos; tamanho de efeito; correção para comparações múltiplas; aprovação ética; financiamento; conflitos de interesse; limitações declaradas</w:t>
            </w:r>
          </w:p>
        </w:tc>
      </w:tr>
    </w:tbl>
    <w:p>
      <w:pPr>
        <w:spacing w:line="240" w:lineRule="auto" w:after="120"/>
        <w:ind w:firstLine="0"/>
        <w:jc w:val="both"/>
      </w:pPr>
      <w:r>
        <w:rPr>
          <w:rFonts w:ascii="Times New Roman" w:hAnsi="Times New Roman"/>
          <w:b w:val="0"/>
          <w:i w:val="0"/>
          <w:sz w:val="20"/>
        </w:rPr>
        <w:t>Fonte: Elaborada pelos autores.</w:t>
      </w:r>
    </w:p>
    <w:p>
      <w:pPr>
        <w:pStyle w:val="Heading2"/>
      </w:pPr>
      <w:r>
        <w:t>3.9 Caracterização metodológica dos estudos</w:t>
      </w:r>
    </w:p>
    <w:p>
      <w:pPr>
        <w:spacing w:line="360" w:lineRule="auto" w:after="0"/>
        <w:ind w:firstLine="709"/>
        <w:jc w:val="both"/>
      </w:pPr>
      <w:r>
        <w:rPr>
          <w:rFonts w:ascii="Times New Roman" w:hAnsi="Times New Roman"/>
          <w:b w:val="0"/>
          <w:i w:val="0"/>
          <w:sz w:val="24"/>
        </w:rPr>
        <w:t>A PRISMA-ScR não exige avaliação de risco de viés, uma vez que a revisão de escopo mapeia a produção em vez de sintetizar efeitos, e a apreciação da certeza da evidência pressupõe uma estimativa a apreciar. Registra-se, contudo, a caracterização metodológica dos estudos incluídos — delineamento, tamanho e composição da amostra, práticas de relato estatístico —, que sustenta o objetivo específico (e) e permite ao leitor julgar a solidez do conjunto sem que se afirme um nível de certeza que este desenho não autoriza.</w:t>
      </w:r>
    </w:p>
    <w:p>
      <w:pPr>
        <w:spacing w:line="360" w:lineRule="auto" w:after="0"/>
        <w:ind w:firstLine="709"/>
        <w:jc w:val="both"/>
      </w:pPr>
      <w:r>
        <w:rPr>
          <w:rFonts w:ascii="Times New Roman" w:hAnsi="Times New Roman"/>
          <w:b w:val="0"/>
          <w:i w:val="0"/>
          <w:sz w:val="24"/>
        </w:rPr>
        <w:t>Caso a triagem revele um subconjunto homogêneo que comporte síntese quantitativa, a avaliação de risco de viés desse subconjunto passa a ser necessária, com ferramenta escolhida conforme o delineamento predominante, e a revisão desse recorte passa a reportar-se pela PRISMA 2020.</w:t>
      </w:r>
    </w:p>
    <w:p>
      <w:pPr>
        <w:pStyle w:val="Heading2"/>
      </w:pPr>
      <w:r>
        <w:t>3.10 Síntese dos resultados</w:t>
      </w:r>
    </w:p>
    <w:p>
      <w:pPr>
        <w:spacing w:line="360" w:lineRule="auto" w:after="0"/>
        <w:ind w:firstLine="709"/>
        <w:jc w:val="both"/>
      </w:pPr>
      <w:r>
        <w:rPr>
          <w:rFonts w:ascii="Times New Roman" w:hAnsi="Times New Roman"/>
          <w:b w:val="0"/>
          <w:i w:val="0"/>
          <w:sz w:val="24"/>
        </w:rPr>
        <w:t>Prevê-se heterogeneidade acentuada quanto a construtos, instrumentos e delineamentos, o que desaconselha agregação estatística indiscriminada e é, em si, um achado do mapeamento. A síntese é narrativa e estruturada por família de construto, acompanhada de tabelas de caracterização e de matrizes de cruzamento entre construto, instrumento e contexto de aferição. A realização de metanálise fica condicionada à identificação de um subconjunto homogêneo, e sua ausência não constitui limitação do desenho adotado.</w:t>
      </w:r>
    </w:p>
    <w:p>
      <w:pPr>
        <w:pStyle w:val="Heading2"/>
      </w:pPr>
      <w:r>
        <w:t>3.11 Procedimentos de curadoria e reprodutibilidade</w:t>
      </w:r>
    </w:p>
    <w:p>
      <w:pPr>
        <w:spacing w:line="360" w:lineRule="auto" w:after="0"/>
        <w:ind w:firstLine="709"/>
        <w:jc w:val="both"/>
      </w:pPr>
      <w:r>
        <w:rPr>
          <w:rFonts w:ascii="Times New Roman" w:hAnsi="Times New Roman"/>
          <w:b w:val="0"/>
          <w:i w:val="0"/>
          <w:sz w:val="24"/>
        </w:rPr>
        <w:t>A busca, a deduplicação, o enriquecimento de metadados e a extração são executados por rotinas versionadas, e cada etapa grava seu produto em arquivo próprio, o que permite reexecução e auditoria independentes. A deduplicação compara identificadores em ordem decrescente de confiabilidade: identificador digital de objeto, identificador do PubMed e, por último, título normalizado. O título é empregado apenas na ausência de identificador persistente, pois a mesma obra pode apresentar pontuação divergente entre bases, e títulos curtos podem coincidir entre obras distintas.</w:t>
      </w:r>
    </w:p>
    <w:p>
      <w:pPr>
        <w:pStyle w:val="Heading2"/>
      </w:pPr>
      <w:r>
        <w:t>3.12 Fluxo integral do processo</w:t>
      </w:r>
    </w:p>
    <w:p>
      <w:pPr>
        <w:spacing w:line="360" w:lineRule="auto" w:after="0"/>
        <w:ind w:firstLine="709"/>
        <w:jc w:val="both"/>
      </w:pPr>
      <w:r>
        <w:rPr>
          <w:rFonts w:ascii="Times New Roman" w:hAnsi="Times New Roman"/>
          <w:b w:val="0"/>
          <w:i w:val="0"/>
          <w:sz w:val="24"/>
        </w:rPr>
        <w:t>O Quadro 4 apresenta a sequência completa de procedimentos, da formulação da estratégia à síntese, com o produto de cada etapa.</w:t>
      </w:r>
    </w:p>
    <w:p>
      <w:pPr>
        <w:spacing w:line="240" w:lineRule="auto" w:after="120"/>
        <w:ind w:firstLine="0"/>
        <w:jc w:val="left"/>
      </w:pPr>
      <w:r>
        <w:rPr>
          <w:rFonts w:ascii="Times New Roman" w:hAnsi="Times New Roman"/>
          <w:b w:val="0"/>
          <w:i w:val="0"/>
          <w:sz w:val="20"/>
        </w:rPr>
        <w:t>Quadro 4 – Fluxo integral, da estratégia de busca à síntese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Etapa</w:t>
            </w:r>
          </w:p>
        </w:tc>
        <w:tc>
          <w:tcPr>
            <w:tcW w:type="dxa" w:w="2268"/>
          </w:tcPr>
          <w:p>
            <w:r/>
            <w:r>
              <w:rPr>
                <w:rFonts w:ascii="Times New Roman" w:hAnsi="Times New Roman"/>
                <w:b/>
                <w:sz w:val="20"/>
              </w:rPr>
              <w:t>Denominação</w:t>
            </w:r>
          </w:p>
        </w:tc>
        <w:tc>
          <w:tcPr>
            <w:tcW w:type="dxa" w:w="2268"/>
          </w:tcPr>
          <w:p>
            <w:r/>
            <w:r>
              <w:rPr>
                <w:rFonts w:ascii="Times New Roman" w:hAnsi="Times New Roman"/>
                <w:b/>
                <w:sz w:val="20"/>
              </w:rPr>
              <w:t>Procedimento</w:t>
            </w:r>
          </w:p>
        </w:tc>
        <w:tc>
          <w:tcPr>
            <w:tcW w:type="dxa" w:w="2268"/>
          </w:tcPr>
          <w:p>
            <w:r/>
            <w:r>
              <w:rPr>
                <w:rFonts w:ascii="Times New Roman" w:hAnsi="Times New Roman"/>
                <w:b/>
                <w:sz w:val="20"/>
              </w:rPr>
              <w:t>Produto</w:t>
            </w:r>
          </w:p>
        </w:tc>
      </w:tr>
      <w:tr>
        <w:tc>
          <w:tcPr>
            <w:tcW w:type="dxa" w:w="2268"/>
          </w:tcPr>
          <w:p>
            <w:r/>
            <w:r>
              <w:rPr>
                <w:rFonts w:ascii="Times New Roman" w:hAnsi="Times New Roman"/>
                <w:b w:val="0"/>
                <w:sz w:val="20"/>
              </w:rPr>
              <w:t>1</w:t>
            </w:r>
          </w:p>
        </w:tc>
        <w:tc>
          <w:tcPr>
            <w:tcW w:type="dxa" w:w="2268"/>
          </w:tcPr>
          <w:p>
            <w:r/>
            <w:r>
              <w:rPr>
                <w:rFonts w:ascii="Times New Roman" w:hAnsi="Times New Roman"/>
                <w:b w:val="0"/>
                <w:sz w:val="20"/>
              </w:rPr>
              <w:t>Formulação da estratégia</w:t>
            </w:r>
          </w:p>
        </w:tc>
        <w:tc>
          <w:tcPr>
            <w:tcW w:type="dxa" w:w="2268"/>
          </w:tcPr>
          <w:p>
            <w:r/>
            <w:r>
              <w:rPr>
                <w:rFonts w:ascii="Times New Roman" w:hAnsi="Times New Roman"/>
                <w:b w:val="0"/>
                <w:sz w:val="20"/>
              </w:rPr>
              <w:t>Blocos PCC; descritores MeSH e DeCS; termos livres; tradução para seis sintaxes</w:t>
            </w:r>
          </w:p>
        </w:tc>
        <w:tc>
          <w:tcPr>
            <w:tcW w:type="dxa" w:w="2268"/>
          </w:tcPr>
          <w:p>
            <w:r/>
            <w:r>
              <w:rPr>
                <w:rFonts w:ascii="Times New Roman" w:hAnsi="Times New Roman"/>
                <w:b w:val="0"/>
                <w:sz w:val="20"/>
              </w:rPr>
              <w:t>6 consultas</w:t>
            </w:r>
          </w:p>
        </w:tc>
      </w:tr>
      <w:tr>
        <w:tc>
          <w:tcPr>
            <w:tcW w:type="dxa" w:w="2268"/>
          </w:tcPr>
          <w:p>
            <w:r/>
            <w:r>
              <w:rPr>
                <w:rFonts w:ascii="Times New Roman" w:hAnsi="Times New Roman"/>
                <w:b w:val="0"/>
                <w:sz w:val="20"/>
              </w:rPr>
              <w:t>2</w:t>
            </w:r>
          </w:p>
        </w:tc>
        <w:tc>
          <w:tcPr>
            <w:tcW w:type="dxa" w:w="2268"/>
          </w:tcPr>
          <w:p>
            <w:r/>
            <w:r>
              <w:rPr>
                <w:rFonts w:ascii="Times New Roman" w:hAnsi="Times New Roman"/>
                <w:b w:val="0"/>
                <w:sz w:val="20"/>
              </w:rPr>
              <w:t>Execução da busca</w:t>
            </w:r>
          </w:p>
        </w:tc>
        <w:tc>
          <w:tcPr>
            <w:tcW w:type="dxa" w:w="2268"/>
          </w:tcPr>
          <w:p>
            <w:r/>
            <w:r>
              <w:rPr>
                <w:rFonts w:ascii="Times New Roman" w:hAnsi="Times New Roman"/>
                <w:b w:val="0"/>
                <w:sz w:val="20"/>
              </w:rPr>
              <w:t>Cinco bases; data de execução registrada</w:t>
            </w:r>
          </w:p>
        </w:tc>
        <w:tc>
          <w:tcPr>
            <w:tcW w:type="dxa" w:w="2268"/>
          </w:tcPr>
          <w:p>
            <w:r/>
            <w:r>
              <w:rPr>
                <w:rFonts w:ascii="Times New Roman" w:hAnsi="Times New Roman"/>
                <w:b w:val="0"/>
                <w:sz w:val="20"/>
              </w:rPr>
              <w:t>1527 identificados</w:t>
            </w:r>
          </w:p>
        </w:tc>
      </w:tr>
      <w:tr>
        <w:tc>
          <w:tcPr>
            <w:tcW w:type="dxa" w:w="2268"/>
          </w:tcPr>
          <w:p>
            <w:r/>
            <w:r>
              <w:rPr>
                <w:rFonts w:ascii="Times New Roman" w:hAnsi="Times New Roman"/>
                <w:b w:val="0"/>
                <w:sz w:val="20"/>
              </w:rPr>
              <w:t>3</w:t>
            </w:r>
          </w:p>
        </w:tc>
        <w:tc>
          <w:tcPr>
            <w:tcW w:type="dxa" w:w="2268"/>
          </w:tcPr>
          <w:p>
            <w:r/>
            <w:r>
              <w:rPr>
                <w:rFonts w:ascii="Times New Roman" w:hAnsi="Times New Roman"/>
                <w:b w:val="0"/>
                <w:sz w:val="20"/>
              </w:rPr>
              <w:t>Auditoria de rendimento</w:t>
            </w:r>
          </w:p>
        </w:tc>
        <w:tc>
          <w:tcPr>
            <w:tcW w:type="dxa" w:w="2268"/>
          </w:tcPr>
          <w:p>
            <w:r/>
            <w:r>
              <w:rPr>
                <w:rFonts w:ascii="Times New Roman" w:hAnsi="Times New Roman"/>
                <w:b w:val="0"/>
                <w:sz w:val="20"/>
              </w:rPr>
              <w:t>Cada bloco submetido isoladamente</w:t>
            </w:r>
          </w:p>
        </w:tc>
        <w:tc>
          <w:tcPr>
            <w:tcW w:type="dxa" w:w="2268"/>
          </w:tcPr>
          <w:p>
            <w:r/>
            <w:r>
              <w:rPr>
                <w:rFonts w:ascii="Times New Roman" w:hAnsi="Times New Roman"/>
                <w:b w:val="0"/>
                <w:sz w:val="20"/>
              </w:rPr>
              <w:t>11 linhas</w:t>
            </w:r>
          </w:p>
        </w:tc>
      </w:tr>
      <w:tr>
        <w:tc>
          <w:tcPr>
            <w:tcW w:type="dxa" w:w="2268"/>
          </w:tcPr>
          <w:p>
            <w:r/>
            <w:r>
              <w:rPr>
                <w:rFonts w:ascii="Times New Roman" w:hAnsi="Times New Roman"/>
                <w:b w:val="0"/>
                <w:sz w:val="20"/>
              </w:rPr>
              <w:t>4</w:t>
            </w:r>
          </w:p>
        </w:tc>
        <w:tc>
          <w:tcPr>
            <w:tcW w:type="dxa" w:w="2268"/>
          </w:tcPr>
          <w:p>
            <w:r/>
            <w:r>
              <w:rPr>
                <w:rFonts w:ascii="Times New Roman" w:hAnsi="Times New Roman"/>
                <w:b w:val="0"/>
                <w:sz w:val="20"/>
              </w:rPr>
              <w:t>Deduplicação</w:t>
            </w:r>
          </w:p>
        </w:tc>
        <w:tc>
          <w:tcPr>
            <w:tcW w:type="dxa" w:w="2268"/>
          </w:tcPr>
          <w:p>
            <w:r/>
            <w:r>
              <w:rPr>
                <w:rFonts w:ascii="Times New Roman" w:hAnsi="Times New Roman"/>
                <w:b w:val="0"/>
                <w:sz w:val="20"/>
              </w:rPr>
              <w:t>DOI, PMID e título normalizado</w:t>
            </w:r>
          </w:p>
        </w:tc>
        <w:tc>
          <w:tcPr>
            <w:tcW w:type="dxa" w:w="2268"/>
          </w:tcPr>
          <w:p>
            <w:r/>
            <w:r>
              <w:rPr>
                <w:rFonts w:ascii="Times New Roman" w:hAnsi="Times New Roman"/>
                <w:b w:val="0"/>
                <w:sz w:val="20"/>
              </w:rPr>
              <w:t>914 únicos</w:t>
            </w:r>
          </w:p>
        </w:tc>
      </w:tr>
      <w:tr>
        <w:tc>
          <w:tcPr>
            <w:tcW w:type="dxa" w:w="2268"/>
          </w:tcPr>
          <w:p>
            <w:r/>
            <w:r>
              <w:rPr>
                <w:rFonts w:ascii="Times New Roman" w:hAnsi="Times New Roman"/>
                <w:b w:val="0"/>
                <w:sz w:val="20"/>
              </w:rPr>
              <w:t>5</w:t>
            </w:r>
          </w:p>
        </w:tc>
        <w:tc>
          <w:tcPr>
            <w:tcW w:type="dxa" w:w="2268"/>
          </w:tcPr>
          <w:p>
            <w:r/>
            <w:r>
              <w:rPr>
                <w:rFonts w:ascii="Times New Roman" w:hAnsi="Times New Roman"/>
                <w:b w:val="0"/>
                <w:sz w:val="20"/>
              </w:rPr>
              <w:t>Enriquecimento</w:t>
            </w:r>
          </w:p>
        </w:tc>
        <w:tc>
          <w:tcPr>
            <w:tcW w:type="dxa" w:w="2268"/>
          </w:tcPr>
          <w:p>
            <w:r/>
            <w:r>
              <w:rPr>
                <w:rFonts w:ascii="Times New Roman" w:hAnsi="Times New Roman"/>
                <w:b w:val="0"/>
                <w:sz w:val="20"/>
              </w:rPr>
              <w:t>Resumo, ISSN e acesso aberto por identificador</w:t>
            </w:r>
          </w:p>
        </w:tc>
        <w:tc>
          <w:tcPr>
            <w:tcW w:type="dxa" w:w="2268"/>
          </w:tcPr>
          <w:p>
            <w:r/>
            <w:r>
              <w:rPr>
                <w:rFonts w:ascii="Times New Roman" w:hAnsi="Times New Roman"/>
                <w:b w:val="0"/>
                <w:sz w:val="20"/>
              </w:rPr>
              <w:t>resumos recuperados</w:t>
            </w:r>
          </w:p>
        </w:tc>
      </w:tr>
      <w:tr>
        <w:tc>
          <w:tcPr>
            <w:tcW w:type="dxa" w:w="2268"/>
          </w:tcPr>
          <w:p>
            <w:r/>
            <w:r>
              <w:rPr>
                <w:rFonts w:ascii="Times New Roman" w:hAnsi="Times New Roman"/>
                <w:b w:val="0"/>
                <w:sz w:val="20"/>
              </w:rPr>
              <w:t>6</w:t>
            </w:r>
          </w:p>
        </w:tc>
        <w:tc>
          <w:tcPr>
            <w:tcW w:type="dxa" w:w="2268"/>
          </w:tcPr>
          <w:p>
            <w:r/>
            <w:r>
              <w:rPr>
                <w:rFonts w:ascii="Times New Roman" w:hAnsi="Times New Roman"/>
                <w:b w:val="0"/>
                <w:sz w:val="20"/>
              </w:rPr>
              <w:t>Varredura</w:t>
            </w:r>
          </w:p>
        </w:tc>
        <w:tc>
          <w:tcPr>
            <w:tcW w:type="dxa" w:w="2268"/>
          </w:tcPr>
          <w:p>
            <w:r/>
            <w:r>
              <w:rPr>
                <w:rFonts w:ascii="Times New Roman" w:hAnsi="Times New Roman"/>
                <w:b w:val="0"/>
                <w:sz w:val="20"/>
              </w:rPr>
              <w:t>Duplicatas, conflitos e registros fora de escopo</w:t>
            </w:r>
          </w:p>
        </w:tc>
        <w:tc>
          <w:tcPr>
            <w:tcW w:type="dxa" w:w="2268"/>
          </w:tcPr>
          <w:p>
            <w:r/>
            <w:r>
              <w:rPr>
                <w:rFonts w:ascii="Times New Roman" w:hAnsi="Times New Roman"/>
                <w:b w:val="0"/>
                <w:sz w:val="20"/>
              </w:rPr>
              <w:t>136 removidos</w:t>
            </w:r>
          </w:p>
        </w:tc>
      </w:tr>
      <w:tr>
        <w:tc>
          <w:tcPr>
            <w:tcW w:type="dxa" w:w="2268"/>
          </w:tcPr>
          <w:p>
            <w:r/>
            <w:r>
              <w:rPr>
                <w:rFonts w:ascii="Times New Roman" w:hAnsi="Times New Roman"/>
                <w:b w:val="0"/>
                <w:sz w:val="20"/>
              </w:rPr>
              <w:t>7</w:t>
            </w:r>
          </w:p>
        </w:tc>
        <w:tc>
          <w:tcPr>
            <w:tcW w:type="dxa" w:w="2268"/>
          </w:tcPr>
          <w:p>
            <w:r/>
            <w:r>
              <w:rPr>
                <w:rFonts w:ascii="Times New Roman" w:hAnsi="Times New Roman"/>
                <w:b w:val="0"/>
                <w:sz w:val="20"/>
              </w:rPr>
              <w:t>Pré-triagem</w:t>
            </w:r>
          </w:p>
        </w:tc>
        <w:tc>
          <w:tcPr>
            <w:tcW w:type="dxa" w:w="2268"/>
          </w:tcPr>
          <w:p>
            <w:r/>
            <w:r>
              <w:rPr>
                <w:rFonts w:ascii="Times New Roman" w:hAnsi="Times New Roman"/>
                <w:b w:val="0"/>
                <w:sz w:val="20"/>
              </w:rPr>
              <w:t>Quatro eixos, com citação da passagem justificadora</w:t>
            </w:r>
          </w:p>
        </w:tc>
        <w:tc>
          <w:tcPr>
            <w:tcW w:type="dxa" w:w="2268"/>
          </w:tcPr>
          <w:p>
            <w:r/>
            <w:r>
              <w:rPr>
                <w:rFonts w:ascii="Times New Roman" w:hAnsi="Times New Roman"/>
                <w:b w:val="0"/>
                <w:sz w:val="20"/>
              </w:rPr>
              <w:t>787 avaliados</w:t>
            </w:r>
          </w:p>
        </w:tc>
      </w:tr>
      <w:tr>
        <w:tc>
          <w:tcPr>
            <w:tcW w:type="dxa" w:w="2268"/>
          </w:tcPr>
          <w:p>
            <w:r/>
            <w:r>
              <w:rPr>
                <w:rFonts w:ascii="Times New Roman" w:hAnsi="Times New Roman"/>
                <w:b w:val="0"/>
                <w:sz w:val="20"/>
              </w:rPr>
              <w:t>8</w:t>
            </w:r>
          </w:p>
        </w:tc>
        <w:tc>
          <w:tcPr>
            <w:tcW w:type="dxa" w:w="2268"/>
          </w:tcPr>
          <w:p>
            <w:r/>
            <w:r>
              <w:rPr>
                <w:rFonts w:ascii="Times New Roman" w:hAnsi="Times New Roman"/>
                <w:b w:val="0"/>
                <w:sz w:val="20"/>
              </w:rPr>
              <w:t>Triagem inicial</w:t>
            </w:r>
          </w:p>
        </w:tc>
        <w:tc>
          <w:tcPr>
            <w:tcW w:type="dxa" w:w="2268"/>
          </w:tcPr>
          <w:p>
            <w:r/>
            <w:r>
              <w:rPr>
                <w:rFonts w:ascii="Times New Roman" w:hAnsi="Times New Roman"/>
                <w:b w:val="0"/>
                <w:sz w:val="20"/>
              </w:rPr>
              <w:t>Dois revisores independentes; concordância aferida</w:t>
            </w:r>
          </w:p>
        </w:tc>
        <w:tc>
          <w:tcPr>
            <w:tcW w:type="dxa" w:w="2268"/>
          </w:tcPr>
          <w:p>
            <w:r/>
            <w:r>
              <w:rPr>
                <w:rFonts w:ascii="Times New Roman" w:hAnsi="Times New Roman"/>
                <w:b w:val="0"/>
                <w:sz w:val="20"/>
              </w:rPr>
              <w:t>787 na fila</w:t>
            </w:r>
          </w:p>
        </w:tc>
      </w:tr>
      <w:tr>
        <w:tc>
          <w:tcPr>
            <w:tcW w:type="dxa" w:w="2268"/>
          </w:tcPr>
          <w:p>
            <w:r/>
            <w:r>
              <w:rPr>
                <w:rFonts w:ascii="Times New Roman" w:hAnsi="Times New Roman"/>
                <w:b w:val="0"/>
                <w:sz w:val="20"/>
              </w:rPr>
              <w:t>9</w:t>
            </w:r>
          </w:p>
        </w:tc>
        <w:tc>
          <w:tcPr>
            <w:tcW w:type="dxa" w:w="2268"/>
          </w:tcPr>
          <w:p>
            <w:r/>
            <w:r>
              <w:rPr>
                <w:rFonts w:ascii="Times New Roman" w:hAnsi="Times New Roman"/>
                <w:b w:val="0"/>
                <w:sz w:val="20"/>
              </w:rPr>
              <w:t>Elegibilidade</w:t>
            </w:r>
          </w:p>
        </w:tc>
        <w:tc>
          <w:tcPr>
            <w:tcW w:type="dxa" w:w="2268"/>
          </w:tcPr>
          <w:p>
            <w:r/>
            <w:r>
              <w:rPr>
                <w:rFonts w:ascii="Times New Roman" w:hAnsi="Times New Roman"/>
                <w:b w:val="0"/>
                <w:sz w:val="20"/>
              </w:rPr>
              <w:t>Texto completo; razão registrada por exclusão</w:t>
            </w:r>
          </w:p>
        </w:tc>
        <w:tc>
          <w:tcPr>
            <w:tcW w:type="dxa" w:w="2268"/>
          </w:tcPr>
          <w:p>
            <w:r/>
            <w:r>
              <w:rPr>
                <w:rFonts w:ascii="Times New Roman" w:hAnsi="Times New Roman"/>
                <w:b w:val="0"/>
                <w:sz w:val="20"/>
              </w:rPr>
              <w:t>Pendente</w:t>
            </w:r>
          </w:p>
        </w:tc>
      </w:tr>
      <w:tr>
        <w:tc>
          <w:tcPr>
            <w:tcW w:type="dxa" w:w="2268"/>
          </w:tcPr>
          <w:p>
            <w:r/>
            <w:r>
              <w:rPr>
                <w:rFonts w:ascii="Times New Roman" w:hAnsi="Times New Roman"/>
                <w:b w:val="0"/>
                <w:sz w:val="20"/>
              </w:rPr>
              <w:t>10</w:t>
            </w:r>
          </w:p>
        </w:tc>
        <w:tc>
          <w:tcPr>
            <w:tcW w:type="dxa" w:w="2268"/>
          </w:tcPr>
          <w:p>
            <w:r/>
            <w:r>
              <w:rPr>
                <w:rFonts w:ascii="Times New Roman" w:hAnsi="Times New Roman"/>
                <w:b w:val="0"/>
                <w:sz w:val="20"/>
              </w:rPr>
              <w:t>Extração</w:t>
            </w:r>
          </w:p>
        </w:tc>
        <w:tc>
          <w:tcPr>
            <w:tcW w:type="dxa" w:w="2268"/>
          </w:tcPr>
          <w:p>
            <w:r/>
            <w:r>
              <w:rPr>
                <w:rFonts w:ascii="Times New Roman" w:hAnsi="Times New Roman"/>
                <w:b w:val="0"/>
                <w:sz w:val="20"/>
              </w:rPr>
              <w:t>Formulário padronizado; campo com trecho de origem</w:t>
            </w:r>
          </w:p>
        </w:tc>
        <w:tc>
          <w:tcPr>
            <w:tcW w:type="dxa" w:w="2268"/>
          </w:tcPr>
          <w:p>
            <w:r/>
            <w:r>
              <w:rPr>
                <w:rFonts w:ascii="Times New Roman" w:hAnsi="Times New Roman"/>
                <w:b w:val="0"/>
                <w:sz w:val="20"/>
              </w:rPr>
              <w:t>331 textos</w:t>
            </w:r>
          </w:p>
        </w:tc>
      </w:tr>
      <w:tr>
        <w:tc>
          <w:tcPr>
            <w:tcW w:type="dxa" w:w="2268"/>
          </w:tcPr>
          <w:p>
            <w:r/>
            <w:r>
              <w:rPr>
                <w:rFonts w:ascii="Times New Roman" w:hAnsi="Times New Roman"/>
                <w:b w:val="0"/>
                <w:sz w:val="20"/>
              </w:rPr>
              <w:t>11</w:t>
            </w:r>
          </w:p>
        </w:tc>
        <w:tc>
          <w:tcPr>
            <w:tcW w:type="dxa" w:w="2268"/>
          </w:tcPr>
          <w:p>
            <w:r/>
            <w:r>
              <w:rPr>
                <w:rFonts w:ascii="Times New Roman" w:hAnsi="Times New Roman"/>
                <w:b w:val="0"/>
                <w:sz w:val="20"/>
              </w:rPr>
              <w:t>Risco de viés</w:t>
            </w:r>
          </w:p>
        </w:tc>
        <w:tc>
          <w:tcPr>
            <w:tcW w:type="dxa" w:w="2268"/>
          </w:tcPr>
          <w:p>
            <w:r/>
            <w:r>
              <w:rPr>
                <w:rFonts w:ascii="Times New Roman" w:hAnsi="Times New Roman"/>
                <w:b w:val="0"/>
                <w:sz w:val="20"/>
              </w:rPr>
              <w:t>Ferramenta conforme delineamento; em duplicata</w:t>
            </w:r>
          </w:p>
        </w:tc>
        <w:tc>
          <w:tcPr>
            <w:tcW w:type="dxa" w:w="2268"/>
          </w:tcPr>
          <w:p>
            <w:r/>
            <w:r>
              <w:rPr>
                <w:rFonts w:ascii="Times New Roman" w:hAnsi="Times New Roman"/>
                <w:b w:val="0"/>
                <w:sz w:val="20"/>
              </w:rPr>
              <w:t>Pendente</w:t>
            </w:r>
          </w:p>
        </w:tc>
      </w:tr>
      <w:tr>
        <w:tc>
          <w:tcPr>
            <w:tcW w:type="dxa" w:w="2268"/>
          </w:tcPr>
          <w:p>
            <w:r/>
            <w:r>
              <w:rPr>
                <w:rFonts w:ascii="Times New Roman" w:hAnsi="Times New Roman"/>
                <w:b w:val="0"/>
                <w:sz w:val="20"/>
              </w:rPr>
              <w:t>12</w:t>
            </w:r>
          </w:p>
        </w:tc>
        <w:tc>
          <w:tcPr>
            <w:tcW w:type="dxa" w:w="2268"/>
          </w:tcPr>
          <w:p>
            <w:r/>
            <w:r>
              <w:rPr>
                <w:rFonts w:ascii="Times New Roman" w:hAnsi="Times New Roman"/>
                <w:b w:val="0"/>
                <w:sz w:val="20"/>
              </w:rPr>
              <w:t>Síntese</w:t>
            </w:r>
          </w:p>
        </w:tc>
        <w:tc>
          <w:tcPr>
            <w:tcW w:type="dxa" w:w="2268"/>
          </w:tcPr>
          <w:p>
            <w:r/>
            <w:r>
              <w:rPr>
                <w:rFonts w:ascii="Times New Roman" w:hAnsi="Times New Roman"/>
                <w:b w:val="0"/>
                <w:sz w:val="20"/>
              </w:rPr>
              <w:t>Narrativa por família de construto</w:t>
            </w:r>
          </w:p>
        </w:tc>
        <w:tc>
          <w:tcPr>
            <w:tcW w:type="dxa" w:w="2268"/>
          </w:tcPr>
          <w:p>
            <w:r/>
            <w:r>
              <w:rPr>
                <w:rFonts w:ascii="Times New Roman" w:hAnsi="Times New Roman"/>
                <w:b w:val="0"/>
                <w:sz w:val="20"/>
              </w:rPr>
              <w:t>Pendente</w:t>
            </w:r>
          </w:p>
        </w:tc>
      </w:tr>
    </w:tbl>
    <w:p>
      <w:pPr>
        <w:spacing w:line="240" w:lineRule="auto" w:after="120"/>
        <w:ind w:firstLine="0"/>
        <w:jc w:val="both"/>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As etapas assinaladas como pendentes dependem da conclusão da triagem por dois revisores independentes.</w:t>
      </w:r>
    </w:p>
    <w:p>
      <w:pPr>
        <w:pStyle w:val="Heading1"/>
      </w:pPr>
      <w:r>
        <w:t>4 RESULTADOS</w:t>
      </w:r>
    </w:p>
    <w:p>
      <w:pPr>
        <w:spacing w:line="360" w:lineRule="auto" w:after="0"/>
        <w:ind w:firstLine="709"/>
        <w:jc w:val="both"/>
      </w:pPr>
      <w:r>
        <w:rPr>
          <w:rFonts w:ascii="Times New Roman" w:hAnsi="Times New Roman"/>
          <w:b w:val="0"/>
          <w:i w:val="0"/>
          <w:sz w:val="24"/>
        </w:rPr>
        <w:t>Os resultados desta seção referem-se aos registros que satisfazem os critérios dos Quadros 1 e 2 aplicados à biblioteca curada. Toda contagem declara a base sobre a qual recai, e toda tabela é gerada diretamente dos dados, de modo que texto e tabela não possam divergir.</w:t>
      </w:r>
    </w:p>
    <w:p>
      <w:pPr>
        <w:pStyle w:val="Heading2"/>
      </w:pPr>
      <w:r>
        <w:t>4.1 Triagem e definição do corpus</w:t>
      </w:r>
    </w:p>
    <w:p>
      <w:pPr>
        <w:spacing w:line="360" w:lineRule="auto" w:after="0"/>
        <w:ind w:firstLine="709"/>
        <w:jc w:val="both"/>
      </w:pPr>
      <w:r>
        <w:rPr>
          <w:rFonts w:ascii="Times New Roman" w:hAnsi="Times New Roman"/>
          <w:b w:val="0"/>
          <w:i w:val="0"/>
          <w:sz w:val="24"/>
        </w:rPr>
        <w:t>A biblioteca curada reúne 2.445 registros. A aplicação dos critérios de elegibilidade excluiu 1.962 e reteve 483, que constituem o corpus analisado. Cada exclusão recebeu um único motivo, o primeiro aplicável na ordem do Quadro 2, conforme o diagrama de fluxo exige.</w:t>
      </w:r>
    </w:p>
    <w:p>
      <w:pPr>
        <w:spacing w:line="360" w:lineRule="auto" w:after="0"/>
        <w:ind w:firstLine="709"/>
        <w:jc w:val="both"/>
      </w:pPr>
      <w:r>
        <w:rPr>
          <w:rFonts w:ascii="Times New Roman" w:hAnsi="Times New Roman"/>
          <w:b w:val="0"/>
          <w:i w:val="0"/>
          <w:sz w:val="24"/>
        </w:rPr>
        <w:t>O motivo mais frequente foi a ausência de aferição de variável psicológica (1.476 registros): a biblioteca cobre cinco famílias de variável, das quais a psicológica é uma, e a maioria dos registros afere apenas desfechos físicos, fisiológicos ou biomecânicos. Seguiram-se 177 registros fora da janela 2006–2026, 177 sem menção ao handebol em título, resumo ou palavras-chave, 113 com delineamento excluído pelo Quadro 2 e 19 em contexto exclusivamente clínico, escolar ou laboratorial.</w:t>
      </w:r>
    </w:p>
    <w:p>
      <w:pPr>
        <w:spacing w:line="360" w:lineRule="auto" w:after="0"/>
        <w:ind w:firstLine="709"/>
        <w:jc w:val="both"/>
      </w:pPr>
      <w:r>
        <w:rPr>
          <w:rFonts w:ascii="Times New Roman" w:hAnsi="Times New Roman"/>
          <w:b w:val="0"/>
          <w:i w:val="0"/>
          <w:sz w:val="24"/>
        </w:rPr>
        <w:t>Registra-se uma distinção que a leitura dos resultados exige. Dos 483 registros elegíveis, 96 nomeiam um instrumento psicométrico já no título, no resumo ou nas palavras-chave, e 387 declaram o construto sem nomear o instrumento. Nestes últimos a elegibilidade quanto ao eixo Conceito permanece a confirmar contra o texto completo, e as tabelas assinalam essa condição em vez de dissolvê-la na contagem.</w:t>
      </w:r>
    </w:p>
    <w:p>
      <w:pPr>
        <w:spacing w:line="240" w:lineRule="auto" w:after="120"/>
        <w:ind w:firstLine="0"/>
        <w:jc w:val="left"/>
      </w:pPr>
      <w:r>
        <w:rPr>
          <w:rFonts w:ascii="Times New Roman" w:hAnsi="Times New Roman"/>
          <w:b w:val="0"/>
          <w:i w:val="0"/>
          <w:sz w:val="20"/>
        </w:rPr>
        <w:t>Tabela 3 – Triagem segundo os critérios dos Quadros 1 e 2</w:t>
      </w:r>
    </w:p>
    <w:tbl>
      <w:tblPr>
        <w:tblStyle w:val="TableGrid"/>
        <w:tblW w:type="auto" w:w="0"/>
        <w:tblLayout w:type="autofit"/>
        <w:tblLook w:firstColumn="1" w:firstRow="1" w:lastColumn="0" w:lastRow="0" w:noHBand="0" w:noVBand="1" w:val="04A0"/>
      </w:tblPr>
      <w:tblGrid>
        <w:gridCol w:w="4535"/>
        <w:gridCol w:w="4535"/>
      </w:tblGrid>
      <w:tr>
        <w:tc>
          <w:tcPr>
            <w:tcW w:type="dxa" w:w="4535"/>
          </w:tcPr>
          <w:p>
            <w:r/>
            <w:r>
              <w:rPr>
                <w:rFonts w:ascii="Times New Roman" w:hAnsi="Times New Roman"/>
                <w:b/>
                <w:sz w:val="20"/>
              </w:rPr>
              <w:t>Etapa</w:t>
            </w:r>
          </w:p>
        </w:tc>
        <w:tc>
          <w:tcPr>
            <w:tcW w:type="dxa" w:w="4535"/>
          </w:tcPr>
          <w:p>
            <w:r/>
            <w:r>
              <w:rPr>
                <w:rFonts w:ascii="Times New Roman" w:hAnsi="Times New Roman"/>
                <w:b/>
                <w:sz w:val="20"/>
              </w:rPr>
              <w:t>n</w:t>
            </w:r>
          </w:p>
        </w:tc>
      </w:tr>
      <w:tr>
        <w:tc>
          <w:tcPr>
            <w:tcW w:type="dxa" w:w="4535"/>
          </w:tcPr>
          <w:p>
            <w:r/>
            <w:r>
              <w:rPr>
                <w:rFonts w:ascii="Times New Roman" w:hAnsi="Times New Roman"/>
                <w:b w:val="0"/>
                <w:sz w:val="20"/>
              </w:rPr>
              <w:t>Registros na biblioteca curada</w:t>
            </w:r>
          </w:p>
        </w:tc>
        <w:tc>
          <w:tcPr>
            <w:tcW w:type="dxa" w:w="4535"/>
          </w:tcPr>
          <w:p>
            <w:r/>
            <w:r>
              <w:rPr>
                <w:rFonts w:ascii="Times New Roman" w:hAnsi="Times New Roman"/>
                <w:b w:val="0"/>
                <w:sz w:val="20"/>
              </w:rPr>
              <w:t>2445</w:t>
            </w:r>
          </w:p>
        </w:tc>
      </w:tr>
      <w:tr>
        <w:tc>
          <w:tcPr>
            <w:tcW w:type="dxa" w:w="4535"/>
          </w:tcPr>
          <w:p>
            <w:r/>
            <w:r>
              <w:rPr>
                <w:rFonts w:ascii="Times New Roman" w:hAnsi="Times New Roman"/>
                <w:b w:val="0"/>
                <w:sz w:val="20"/>
              </w:rPr>
              <w:t>Excluídos na triagem</w:t>
            </w:r>
          </w:p>
        </w:tc>
        <w:tc>
          <w:tcPr>
            <w:tcW w:type="dxa" w:w="4535"/>
          </w:tcPr>
          <w:p>
            <w:r/>
            <w:r>
              <w:rPr>
                <w:rFonts w:ascii="Times New Roman" w:hAnsi="Times New Roman"/>
                <w:b w:val="0"/>
                <w:sz w:val="20"/>
              </w:rPr>
              <w:t>1962</w:t>
            </w:r>
          </w:p>
        </w:tc>
      </w:tr>
      <w:tr>
        <w:tc>
          <w:tcPr>
            <w:tcW w:type="dxa" w:w="4535"/>
          </w:tcPr>
          <w:p>
            <w:r/>
            <w:r>
              <w:rPr>
                <w:rFonts w:ascii="Times New Roman" w:hAnsi="Times New Roman"/>
                <w:b w:val="0"/>
                <w:sz w:val="20"/>
              </w:rPr>
              <w:t xml:space="preserve">  · fora da janela temporal</w:t>
            </w:r>
          </w:p>
        </w:tc>
        <w:tc>
          <w:tcPr>
            <w:tcW w:type="dxa" w:w="4535"/>
          </w:tcPr>
          <w:p>
            <w:r/>
            <w:r>
              <w:rPr>
                <w:rFonts w:ascii="Times New Roman" w:hAnsi="Times New Roman"/>
                <w:b w:val="0"/>
                <w:sz w:val="20"/>
              </w:rPr>
              <w:t>177</w:t>
            </w:r>
          </w:p>
        </w:tc>
      </w:tr>
      <w:tr>
        <w:tc>
          <w:tcPr>
            <w:tcW w:type="dxa" w:w="4535"/>
          </w:tcPr>
          <w:p>
            <w:r/>
            <w:r>
              <w:rPr>
                <w:rFonts w:ascii="Times New Roman" w:hAnsi="Times New Roman"/>
                <w:b w:val="0"/>
                <w:sz w:val="20"/>
              </w:rPr>
              <w:t xml:space="preserve">  · população não é de handebol</w:t>
            </w:r>
          </w:p>
        </w:tc>
        <w:tc>
          <w:tcPr>
            <w:tcW w:type="dxa" w:w="4535"/>
          </w:tcPr>
          <w:p>
            <w:r/>
            <w:r>
              <w:rPr>
                <w:rFonts w:ascii="Times New Roman" w:hAnsi="Times New Roman"/>
                <w:b w:val="0"/>
                <w:sz w:val="20"/>
              </w:rPr>
              <w:t>177</w:t>
            </w:r>
          </w:p>
        </w:tc>
      </w:tr>
      <w:tr>
        <w:tc>
          <w:tcPr>
            <w:tcW w:type="dxa" w:w="4535"/>
          </w:tcPr>
          <w:p>
            <w:r/>
            <w:r>
              <w:rPr>
                <w:rFonts w:ascii="Times New Roman" w:hAnsi="Times New Roman"/>
                <w:b w:val="0"/>
                <w:sz w:val="20"/>
              </w:rPr>
              <w:t xml:space="preserve">  · não mede variável psicológica</w:t>
            </w:r>
          </w:p>
        </w:tc>
        <w:tc>
          <w:tcPr>
            <w:tcW w:type="dxa" w:w="4535"/>
          </w:tcPr>
          <w:p>
            <w:r/>
            <w:r>
              <w:rPr>
                <w:rFonts w:ascii="Times New Roman" w:hAnsi="Times New Roman"/>
                <w:b w:val="0"/>
                <w:sz w:val="20"/>
              </w:rPr>
              <w:t>1476</w:t>
            </w:r>
          </w:p>
        </w:tc>
      </w:tr>
      <w:tr>
        <w:tc>
          <w:tcPr>
            <w:tcW w:type="dxa" w:w="4535"/>
          </w:tcPr>
          <w:p>
            <w:r/>
            <w:r>
              <w:rPr>
                <w:rFonts w:ascii="Times New Roman" w:hAnsi="Times New Roman"/>
                <w:b w:val="0"/>
                <w:sz w:val="20"/>
              </w:rPr>
              <w:t xml:space="preserve">  · fora de treinamento ou competição</w:t>
            </w:r>
          </w:p>
        </w:tc>
        <w:tc>
          <w:tcPr>
            <w:tcW w:type="dxa" w:w="4535"/>
          </w:tcPr>
          <w:p>
            <w:r/>
            <w:r>
              <w:rPr>
                <w:rFonts w:ascii="Times New Roman" w:hAnsi="Times New Roman"/>
                <w:b w:val="0"/>
                <w:sz w:val="20"/>
              </w:rPr>
              <w:t>19</w:t>
            </w:r>
          </w:p>
        </w:tc>
      </w:tr>
      <w:tr>
        <w:tc>
          <w:tcPr>
            <w:tcW w:type="dxa" w:w="4535"/>
          </w:tcPr>
          <w:p>
            <w:r/>
            <w:r>
              <w:rPr>
                <w:rFonts w:ascii="Times New Roman" w:hAnsi="Times New Roman"/>
                <w:b w:val="0"/>
                <w:sz w:val="20"/>
              </w:rPr>
              <w:t xml:space="preserve">  · delineamento inelegível</w:t>
            </w:r>
          </w:p>
        </w:tc>
        <w:tc>
          <w:tcPr>
            <w:tcW w:type="dxa" w:w="4535"/>
          </w:tcPr>
          <w:p>
            <w:r/>
            <w:r>
              <w:rPr>
                <w:rFonts w:ascii="Times New Roman" w:hAnsi="Times New Roman"/>
                <w:b w:val="0"/>
                <w:sz w:val="20"/>
              </w:rPr>
              <w:t>113</w:t>
            </w:r>
          </w:p>
        </w:tc>
      </w:tr>
      <w:tr>
        <w:tc>
          <w:tcPr>
            <w:tcW w:type="dxa" w:w="4535"/>
          </w:tcPr>
          <w:p>
            <w:r/>
            <w:r>
              <w:rPr>
                <w:rFonts w:ascii="Times New Roman" w:hAnsi="Times New Roman"/>
                <w:b/>
                <w:sz w:val="20"/>
              </w:rPr>
              <w:t>Registros elegíveis</w:t>
            </w:r>
          </w:p>
        </w:tc>
        <w:tc>
          <w:tcPr>
            <w:tcW w:type="dxa" w:w="4535"/>
          </w:tcPr>
          <w:p>
            <w:r/>
            <w:r>
              <w:rPr>
                <w:rFonts w:ascii="Times New Roman" w:hAnsi="Times New Roman"/>
                <w:b/>
                <w:sz w:val="20"/>
              </w:rPr>
              <w:t>483</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Cada exclusão recebe um único motivo, o primeiro aplicável na ordem do Quadro 2, como o PRISMA exige. Dos elegíveis, 96 nomeiam um instrumento psicométrico no título, resumo ou palavras-chave e 387 declaram o construto sem nomear o instrumento; nestes a confirmação depende do texto completo.</w:t>
      </w:r>
    </w:p>
    <w:p>
      <w:pPr>
        <w:spacing w:line="240" w:lineRule="auto" w:after="120"/>
        <w:ind w:firstLine="0"/>
        <w:jc w:val="both"/>
      </w:pPr>
      <w:r>
        <w:rPr>
          <w:rFonts w:ascii="Times New Roman" w:hAnsi="Times New Roman"/>
          <w:b w:val="0"/>
          <w:i w:val="0"/>
          <w:sz w:val="24"/>
        </w:rPr>
      </w:r>
    </w:p>
    <w:p>
      <w:pPr>
        <w:pStyle w:val="Heading2"/>
      </w:pPr>
      <w:r>
        <w:t>4.2 Caracterização do corpus</w:t>
      </w:r>
    </w:p>
    <w:p>
      <w:pPr>
        <w:spacing w:line="360" w:lineRule="auto" w:after="0"/>
        <w:ind w:firstLine="709"/>
        <w:jc w:val="both"/>
      </w:pPr>
      <w:r>
        <w:rPr>
          <w:rFonts w:ascii="Times New Roman" w:hAnsi="Times New Roman"/>
          <w:b w:val="0"/>
          <w:i w:val="0"/>
          <w:sz w:val="24"/>
        </w:rPr>
        <w:t>A produção concentra-se na década mais recente: 403 dos 483 registros elegíveis foram publicados entre 2016 e 2026, contra 80 entre 2006 e 2015. As duas contagens somam o total do corpus, sem resto.</w:t>
      </w:r>
    </w:p>
    <w:p>
      <w:pPr>
        <w:spacing w:line="360" w:lineRule="auto" w:after="0"/>
        <w:ind w:firstLine="709"/>
        <w:jc w:val="both"/>
      </w:pPr>
      <w:r>
        <w:rPr>
          <w:rFonts w:ascii="Times New Roman" w:hAnsi="Times New Roman"/>
          <w:b w:val="0"/>
          <w:i w:val="0"/>
          <w:sz w:val="24"/>
        </w:rPr>
        <w:t>A distribuição por família de construto aparece na Tabela 4. As três famílias mais frequentes são ansiedade e estresse (174 registros), motivação (120 registros), cognição e atenção (114 registros). Um registro pode figurar em mais de uma família, de modo que a soma das linhas excede a base declarada e os percentuais não somam cem.</w:t>
      </w:r>
    </w:p>
    <w:p>
      <w:pPr>
        <w:spacing w:line="240" w:lineRule="auto" w:after="120"/>
        <w:ind w:firstLine="0"/>
        <w:jc w:val="left"/>
      </w:pPr>
      <w:r>
        <w:rPr>
          <w:rFonts w:ascii="Times New Roman" w:hAnsi="Times New Roman"/>
          <w:b w:val="0"/>
          <w:i w:val="0"/>
          <w:sz w:val="20"/>
        </w:rPr>
        <w:t>Tabela 4 – Famílias de construto psicológico nos registros elegíveis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Família de construto</w:t>
            </w:r>
          </w:p>
        </w:tc>
        <w:tc>
          <w:tcPr>
            <w:tcW w:type="dxa" w:w="3024"/>
          </w:tcPr>
          <w:p>
            <w:r/>
            <w:r>
              <w:rPr>
                <w:rFonts w:ascii="Times New Roman" w:hAnsi="Times New Roman"/>
                <w:b/>
                <w:sz w:val="20"/>
              </w:rPr>
              <w:t>Registros</w:t>
            </w:r>
          </w:p>
        </w:tc>
        <w:tc>
          <w:tcPr>
            <w:tcW w:type="dxa" w:w="3024"/>
          </w:tcPr>
          <w:p>
            <w:r/>
            <w:r>
              <w:rPr>
                <w:rFonts w:ascii="Times New Roman" w:hAnsi="Times New Roman"/>
                <w:b/>
                <w:sz w:val="20"/>
              </w:rPr>
              <w:t>%</w:t>
            </w:r>
          </w:p>
        </w:tc>
      </w:tr>
      <w:tr>
        <w:tc>
          <w:tcPr>
            <w:tcW w:type="dxa" w:w="3024"/>
          </w:tcPr>
          <w:p>
            <w:r/>
            <w:r>
              <w:rPr>
                <w:rFonts w:ascii="Times New Roman" w:hAnsi="Times New Roman"/>
                <w:b w:val="0"/>
                <w:sz w:val="20"/>
              </w:rPr>
              <w:t>ansiedade e estresse</w:t>
            </w:r>
          </w:p>
        </w:tc>
        <w:tc>
          <w:tcPr>
            <w:tcW w:type="dxa" w:w="3024"/>
          </w:tcPr>
          <w:p>
            <w:r/>
            <w:r>
              <w:rPr>
                <w:rFonts w:ascii="Times New Roman" w:hAnsi="Times New Roman"/>
                <w:b w:val="0"/>
                <w:sz w:val="20"/>
              </w:rPr>
              <w:t>174</w:t>
            </w:r>
          </w:p>
        </w:tc>
        <w:tc>
          <w:tcPr>
            <w:tcW w:type="dxa" w:w="3024"/>
          </w:tcPr>
          <w:p>
            <w:r/>
            <w:r>
              <w:rPr>
                <w:rFonts w:ascii="Times New Roman" w:hAnsi="Times New Roman"/>
                <w:b w:val="0"/>
                <w:sz w:val="20"/>
              </w:rPr>
              <w:t>36,0</w:t>
            </w:r>
          </w:p>
        </w:tc>
      </w:tr>
      <w:tr>
        <w:tc>
          <w:tcPr>
            <w:tcW w:type="dxa" w:w="3024"/>
          </w:tcPr>
          <w:p>
            <w:r/>
            <w:r>
              <w:rPr>
                <w:rFonts w:ascii="Times New Roman" w:hAnsi="Times New Roman"/>
                <w:b w:val="0"/>
                <w:sz w:val="20"/>
              </w:rPr>
              <w:t>motivação</w:t>
            </w:r>
          </w:p>
        </w:tc>
        <w:tc>
          <w:tcPr>
            <w:tcW w:type="dxa" w:w="3024"/>
          </w:tcPr>
          <w:p>
            <w:r/>
            <w:r>
              <w:rPr>
                <w:rFonts w:ascii="Times New Roman" w:hAnsi="Times New Roman"/>
                <w:b w:val="0"/>
                <w:sz w:val="20"/>
              </w:rPr>
              <w:t>120</w:t>
            </w:r>
          </w:p>
        </w:tc>
        <w:tc>
          <w:tcPr>
            <w:tcW w:type="dxa" w:w="3024"/>
          </w:tcPr>
          <w:p>
            <w:r/>
            <w:r>
              <w:rPr>
                <w:rFonts w:ascii="Times New Roman" w:hAnsi="Times New Roman"/>
                <w:b w:val="0"/>
                <w:sz w:val="20"/>
              </w:rPr>
              <w:t>24,8</w:t>
            </w:r>
          </w:p>
        </w:tc>
      </w:tr>
      <w:tr>
        <w:tc>
          <w:tcPr>
            <w:tcW w:type="dxa" w:w="3024"/>
          </w:tcPr>
          <w:p>
            <w:r/>
            <w:r>
              <w:rPr>
                <w:rFonts w:ascii="Times New Roman" w:hAnsi="Times New Roman"/>
                <w:b w:val="0"/>
                <w:sz w:val="20"/>
              </w:rPr>
              <w:t>cognição e atenção</w:t>
            </w:r>
          </w:p>
        </w:tc>
        <w:tc>
          <w:tcPr>
            <w:tcW w:type="dxa" w:w="3024"/>
          </w:tcPr>
          <w:p>
            <w:r/>
            <w:r>
              <w:rPr>
                <w:rFonts w:ascii="Times New Roman" w:hAnsi="Times New Roman"/>
                <w:b w:val="0"/>
                <w:sz w:val="20"/>
              </w:rPr>
              <w:t>114</w:t>
            </w:r>
          </w:p>
        </w:tc>
        <w:tc>
          <w:tcPr>
            <w:tcW w:type="dxa" w:w="3024"/>
          </w:tcPr>
          <w:p>
            <w:r/>
            <w:r>
              <w:rPr>
                <w:rFonts w:ascii="Times New Roman" w:hAnsi="Times New Roman"/>
                <w:b w:val="0"/>
                <w:sz w:val="20"/>
              </w:rPr>
              <w:t>23,6</w:t>
            </w:r>
          </w:p>
        </w:tc>
      </w:tr>
      <w:tr>
        <w:tc>
          <w:tcPr>
            <w:tcW w:type="dxa" w:w="3024"/>
          </w:tcPr>
          <w:p>
            <w:r/>
            <w:r>
              <w:rPr>
                <w:rFonts w:ascii="Times New Roman" w:hAnsi="Times New Roman"/>
                <w:b w:val="0"/>
                <w:sz w:val="20"/>
              </w:rPr>
              <w:t>sono e recuperação</w:t>
            </w:r>
          </w:p>
        </w:tc>
        <w:tc>
          <w:tcPr>
            <w:tcW w:type="dxa" w:w="3024"/>
          </w:tcPr>
          <w:p>
            <w:r/>
            <w:r>
              <w:rPr>
                <w:rFonts w:ascii="Times New Roman" w:hAnsi="Times New Roman"/>
                <w:b w:val="0"/>
                <w:sz w:val="20"/>
              </w:rPr>
              <w:t>92</w:t>
            </w:r>
          </w:p>
        </w:tc>
        <w:tc>
          <w:tcPr>
            <w:tcW w:type="dxa" w:w="3024"/>
          </w:tcPr>
          <w:p>
            <w:r/>
            <w:r>
              <w:rPr>
                <w:rFonts w:ascii="Times New Roman" w:hAnsi="Times New Roman"/>
                <w:b w:val="0"/>
                <w:sz w:val="20"/>
              </w:rPr>
              <w:t>19,0</w:t>
            </w:r>
          </w:p>
        </w:tc>
      </w:tr>
      <w:tr>
        <w:tc>
          <w:tcPr>
            <w:tcW w:type="dxa" w:w="3024"/>
          </w:tcPr>
          <w:p>
            <w:r/>
            <w:r>
              <w:rPr>
                <w:rFonts w:ascii="Times New Roman" w:hAnsi="Times New Roman"/>
                <w:b w:val="0"/>
                <w:sz w:val="20"/>
              </w:rPr>
              <w:t>coping e resiliência</w:t>
            </w:r>
          </w:p>
        </w:tc>
        <w:tc>
          <w:tcPr>
            <w:tcW w:type="dxa" w:w="3024"/>
          </w:tcPr>
          <w:p>
            <w:r/>
            <w:r>
              <w:rPr>
                <w:rFonts w:ascii="Times New Roman" w:hAnsi="Times New Roman"/>
                <w:b w:val="0"/>
                <w:sz w:val="20"/>
              </w:rPr>
              <w:t>77</w:t>
            </w:r>
          </w:p>
        </w:tc>
        <w:tc>
          <w:tcPr>
            <w:tcW w:type="dxa" w:w="3024"/>
          </w:tcPr>
          <w:p>
            <w:r/>
            <w:r>
              <w:rPr>
                <w:rFonts w:ascii="Times New Roman" w:hAnsi="Times New Roman"/>
                <w:b w:val="0"/>
                <w:sz w:val="20"/>
              </w:rPr>
              <w:t>15,9</w:t>
            </w:r>
          </w:p>
        </w:tc>
      </w:tr>
      <w:tr>
        <w:tc>
          <w:tcPr>
            <w:tcW w:type="dxa" w:w="3024"/>
          </w:tcPr>
          <w:p>
            <w:r/>
            <w:r>
              <w:rPr>
                <w:rFonts w:ascii="Times New Roman" w:hAnsi="Times New Roman"/>
                <w:b w:val="0"/>
                <w:sz w:val="20"/>
              </w:rPr>
              <w:t>burnout e saúde mental</w:t>
            </w:r>
          </w:p>
        </w:tc>
        <w:tc>
          <w:tcPr>
            <w:tcW w:type="dxa" w:w="3024"/>
          </w:tcPr>
          <w:p>
            <w:r/>
            <w:r>
              <w:rPr>
                <w:rFonts w:ascii="Times New Roman" w:hAnsi="Times New Roman"/>
                <w:b w:val="0"/>
                <w:sz w:val="20"/>
              </w:rPr>
              <w:t>53</w:t>
            </w:r>
          </w:p>
        </w:tc>
        <w:tc>
          <w:tcPr>
            <w:tcW w:type="dxa" w:w="3024"/>
          </w:tcPr>
          <w:p>
            <w:r/>
            <w:r>
              <w:rPr>
                <w:rFonts w:ascii="Times New Roman" w:hAnsi="Times New Roman"/>
                <w:b w:val="0"/>
                <w:sz w:val="20"/>
              </w:rPr>
              <w:t>11,0</w:t>
            </w:r>
          </w:p>
        </w:tc>
      </w:tr>
      <w:tr>
        <w:tc>
          <w:tcPr>
            <w:tcW w:type="dxa" w:w="3024"/>
          </w:tcPr>
          <w:p>
            <w:r/>
            <w:r>
              <w:rPr>
                <w:rFonts w:ascii="Times New Roman" w:hAnsi="Times New Roman"/>
                <w:b w:val="0"/>
                <w:sz w:val="20"/>
              </w:rPr>
              <w:t>autoeficácia e confiança</w:t>
            </w:r>
          </w:p>
        </w:tc>
        <w:tc>
          <w:tcPr>
            <w:tcW w:type="dxa" w:w="3024"/>
          </w:tcPr>
          <w:p>
            <w:r/>
            <w:r>
              <w:rPr>
                <w:rFonts w:ascii="Times New Roman" w:hAnsi="Times New Roman"/>
                <w:b w:val="0"/>
                <w:sz w:val="20"/>
              </w:rPr>
              <w:t>43</w:t>
            </w:r>
          </w:p>
        </w:tc>
        <w:tc>
          <w:tcPr>
            <w:tcW w:type="dxa" w:w="3024"/>
          </w:tcPr>
          <w:p>
            <w:r/>
            <w:r>
              <w:rPr>
                <w:rFonts w:ascii="Times New Roman" w:hAnsi="Times New Roman"/>
                <w:b w:val="0"/>
                <w:sz w:val="20"/>
              </w:rPr>
              <w:t>8,9</w:t>
            </w:r>
          </w:p>
        </w:tc>
      </w:tr>
      <w:tr>
        <w:tc>
          <w:tcPr>
            <w:tcW w:type="dxa" w:w="3024"/>
          </w:tcPr>
          <w:p>
            <w:r/>
            <w:r>
              <w:rPr>
                <w:rFonts w:ascii="Times New Roman" w:hAnsi="Times New Roman"/>
                <w:b w:val="0"/>
                <w:sz w:val="20"/>
              </w:rPr>
              <w:t>coesão e grupo</w:t>
            </w:r>
          </w:p>
        </w:tc>
        <w:tc>
          <w:tcPr>
            <w:tcW w:type="dxa" w:w="3024"/>
          </w:tcPr>
          <w:p>
            <w:r/>
            <w:r>
              <w:rPr>
                <w:rFonts w:ascii="Times New Roman" w:hAnsi="Times New Roman"/>
                <w:b w:val="0"/>
                <w:sz w:val="20"/>
              </w:rPr>
              <w:t>29</w:t>
            </w:r>
          </w:p>
        </w:tc>
        <w:tc>
          <w:tcPr>
            <w:tcW w:type="dxa" w:w="3024"/>
          </w:tcPr>
          <w:p>
            <w:r/>
            <w:r>
              <w:rPr>
                <w:rFonts w:ascii="Times New Roman" w:hAnsi="Times New Roman"/>
                <w:b w:val="0"/>
                <w:sz w:val="20"/>
              </w:rPr>
              <w:t>6,0</w:t>
            </w:r>
          </w:p>
        </w:tc>
      </w:tr>
      <w:tr>
        <w:tc>
          <w:tcPr>
            <w:tcW w:type="dxa" w:w="3024"/>
          </w:tcPr>
          <w:p>
            <w:r/>
            <w:r>
              <w:rPr>
                <w:rFonts w:ascii="Times New Roman" w:hAnsi="Times New Roman"/>
                <w:b w:val="0"/>
                <w:sz w:val="20"/>
              </w:rPr>
              <w:t>humor e afeto</w:t>
            </w:r>
          </w:p>
        </w:tc>
        <w:tc>
          <w:tcPr>
            <w:tcW w:type="dxa" w:w="3024"/>
          </w:tcPr>
          <w:p>
            <w:r/>
            <w:r>
              <w:rPr>
                <w:rFonts w:ascii="Times New Roman" w:hAnsi="Times New Roman"/>
                <w:b w:val="0"/>
                <w:sz w:val="20"/>
              </w:rPr>
              <w:t>27</w:t>
            </w:r>
          </w:p>
        </w:tc>
        <w:tc>
          <w:tcPr>
            <w:tcW w:type="dxa" w:w="3024"/>
          </w:tcPr>
          <w:p>
            <w:r/>
            <w:r>
              <w:rPr>
                <w:rFonts w:ascii="Times New Roman" w:hAnsi="Times New Roman"/>
                <w:b w:val="0"/>
                <w:sz w:val="20"/>
              </w:rPr>
              <w:t>5,6</w:t>
            </w:r>
          </w:p>
        </w:tc>
      </w:tr>
      <w:tr>
        <w:tc>
          <w:tcPr>
            <w:tcW w:type="dxa" w:w="3024"/>
          </w:tcPr>
          <w:p>
            <w:r/>
            <w:r>
              <w:rPr>
                <w:rFonts w:ascii="Times New Roman" w:hAnsi="Times New Roman"/>
                <w:b w:val="0"/>
                <w:sz w:val="20"/>
              </w:rPr>
              <w:t>personalidade</w:t>
            </w:r>
          </w:p>
        </w:tc>
        <w:tc>
          <w:tcPr>
            <w:tcW w:type="dxa" w:w="3024"/>
          </w:tcPr>
          <w:p>
            <w:r/>
            <w:r>
              <w:rPr>
                <w:rFonts w:ascii="Times New Roman" w:hAnsi="Times New Roman"/>
                <w:b w:val="0"/>
                <w:sz w:val="20"/>
              </w:rPr>
              <w:t>22</w:t>
            </w:r>
          </w:p>
        </w:tc>
        <w:tc>
          <w:tcPr>
            <w:tcW w:type="dxa" w:w="3024"/>
          </w:tcPr>
          <w:p>
            <w:r/>
            <w:r>
              <w:rPr>
                <w:rFonts w:ascii="Times New Roman" w:hAnsi="Times New Roman"/>
                <w:b w:val="0"/>
                <w:sz w:val="20"/>
              </w:rPr>
              <w:t>4,6</w:t>
            </w:r>
          </w:p>
        </w:tc>
      </w:tr>
      <w:tr>
        <w:tc>
          <w:tcPr>
            <w:tcW w:type="dxa" w:w="3024"/>
          </w:tcPr>
          <w:p>
            <w:r/>
            <w:r>
              <w:rPr>
                <w:rFonts w:ascii="Times New Roman" w:hAnsi="Times New Roman"/>
                <w:b w:val="0"/>
                <w:sz w:val="20"/>
              </w:rPr>
              <w:t>emoção</w:t>
            </w:r>
          </w:p>
        </w:tc>
        <w:tc>
          <w:tcPr>
            <w:tcW w:type="dxa" w:w="3024"/>
          </w:tcPr>
          <w:p>
            <w:r/>
            <w:r>
              <w:rPr>
                <w:rFonts w:ascii="Times New Roman" w:hAnsi="Times New Roman"/>
                <w:b w:val="0"/>
                <w:sz w:val="20"/>
              </w:rPr>
              <w:t>1</w:t>
            </w:r>
          </w:p>
        </w:tc>
        <w:tc>
          <w:tcPr>
            <w:tcW w:type="dxa" w:w="3024"/>
          </w:tcPr>
          <w:p>
            <w:r/>
            <w:r>
              <w:rPr>
                <w:rFonts w:ascii="Times New Roman" w:hAnsi="Times New Roman"/>
                <w:b w:val="0"/>
                <w:sz w:val="20"/>
              </w:rPr>
              <w:t>0,2</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Base: 483 registros elegíveis. Um registro pode figurar em mais de uma família, de modo que a soma da coluna excede a base e os percentuais não somam 100%. A família é atribuída pelo construto efetivamente aferido — pelo instrumento, quando nomeado — e não pela marcação de área do artigo.</w:t>
      </w:r>
    </w:p>
    <w:p>
      <w:pPr>
        <w:spacing w:line="240" w:lineRule="auto" w:after="120"/>
        <w:ind w:firstLine="0"/>
        <w:jc w:val="both"/>
      </w:pPr>
      <w:r>
        <w:rPr>
          <w:rFonts w:ascii="Times New Roman" w:hAnsi="Times New Roman"/>
          <w:b w:val="0"/>
          <w:i w:val="0"/>
          <w:sz w:val="24"/>
        </w:rPr>
      </w:r>
    </w:p>
    <w:p>
      <w:pPr>
        <w:spacing w:line="360" w:lineRule="auto" w:after="0"/>
        <w:ind w:firstLine="709"/>
        <w:jc w:val="both"/>
      </w:pPr>
      <w:r>
        <w:rPr>
          <w:rFonts w:ascii="Times New Roman" w:hAnsi="Times New Roman"/>
          <w:b w:val="0"/>
          <w:i w:val="0"/>
          <w:sz w:val="24"/>
        </w:rPr>
        <w:t>A Tabela 5 lista os instrumentos psicométricos efetivamente nomeados. Ela substitui a versão anterior, que agregava o campo de instrumentos da biblioteca e por isso trazia testes de agilidade, saltos verticais, coleta salivar e posicionamento por satélite sob o rótulo de instrumentos psicométricos. Escalas de percepção de esforço não constam: são medidas psicofísicas de intensidade percebida, não psicometria de construto, e tratá-las como esta última é o que faz um estudo de carga de treino parecer um estudo de motivação.</w:t>
      </w:r>
    </w:p>
    <w:p>
      <w:pPr>
        <w:spacing w:line="240" w:lineRule="auto" w:after="120"/>
        <w:ind w:firstLine="0"/>
        <w:jc w:val="left"/>
      </w:pPr>
      <w:r>
        <w:rPr>
          <w:rFonts w:ascii="Times New Roman" w:hAnsi="Times New Roman"/>
          <w:b w:val="0"/>
          <w:i w:val="0"/>
          <w:sz w:val="20"/>
        </w:rPr>
        <w:t>Tabela 5 – Instrumentos psicométricos nomeados nos registros elegíveis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Instrumento</w:t>
            </w:r>
          </w:p>
        </w:tc>
        <w:tc>
          <w:tcPr>
            <w:tcW w:type="dxa" w:w="3024"/>
          </w:tcPr>
          <w:p>
            <w:r/>
            <w:r>
              <w:rPr>
                <w:rFonts w:ascii="Times New Roman" w:hAnsi="Times New Roman"/>
                <w:b/>
                <w:sz w:val="20"/>
              </w:rPr>
              <w:t>Família de construto</w:t>
            </w:r>
          </w:p>
        </w:tc>
        <w:tc>
          <w:tcPr>
            <w:tcW w:type="dxa" w:w="3024"/>
          </w:tcPr>
          <w:p>
            <w:r/>
            <w:r>
              <w:rPr>
                <w:rFonts w:ascii="Times New Roman" w:hAnsi="Times New Roman"/>
                <w:b/>
                <w:sz w:val="20"/>
              </w:rPr>
              <w:t>Registros</w:t>
            </w:r>
          </w:p>
        </w:tc>
      </w:tr>
      <w:tr>
        <w:tc>
          <w:tcPr>
            <w:tcW w:type="dxa" w:w="3024"/>
          </w:tcPr>
          <w:p>
            <w:r/>
            <w:r>
              <w:rPr>
                <w:rFonts w:ascii="Times New Roman" w:hAnsi="Times New Roman"/>
                <w:b w:val="0"/>
                <w:sz w:val="20"/>
              </w:rPr>
              <w:t>SMS (Sport Motivation Scale)</w:t>
            </w:r>
          </w:p>
        </w:tc>
        <w:tc>
          <w:tcPr>
            <w:tcW w:type="dxa" w:w="3024"/>
          </w:tcPr>
          <w:p>
            <w:r/>
            <w:r>
              <w:rPr>
                <w:rFonts w:ascii="Times New Roman" w:hAnsi="Times New Roman"/>
                <w:b w:val="0"/>
                <w:sz w:val="20"/>
              </w:rPr>
              <w:t>motivação</w:t>
            </w:r>
          </w:p>
        </w:tc>
        <w:tc>
          <w:tcPr>
            <w:tcW w:type="dxa" w:w="3024"/>
          </w:tcPr>
          <w:p>
            <w:r/>
            <w:r>
              <w:rPr>
                <w:rFonts w:ascii="Times New Roman" w:hAnsi="Times New Roman"/>
                <w:b w:val="0"/>
                <w:sz w:val="20"/>
              </w:rPr>
              <w:t>15</w:t>
            </w:r>
          </w:p>
        </w:tc>
      </w:tr>
      <w:tr>
        <w:tc>
          <w:tcPr>
            <w:tcW w:type="dxa" w:w="3024"/>
          </w:tcPr>
          <w:p>
            <w:r/>
            <w:r>
              <w:rPr>
                <w:rFonts w:ascii="Times New Roman" w:hAnsi="Times New Roman"/>
                <w:b w:val="0"/>
                <w:sz w:val="20"/>
              </w:rPr>
              <w:t>PMCSQ</w:t>
            </w:r>
          </w:p>
        </w:tc>
        <w:tc>
          <w:tcPr>
            <w:tcW w:type="dxa" w:w="3024"/>
          </w:tcPr>
          <w:p>
            <w:r/>
            <w:r>
              <w:rPr>
                <w:rFonts w:ascii="Times New Roman" w:hAnsi="Times New Roman"/>
                <w:b w:val="0"/>
                <w:sz w:val="20"/>
              </w:rPr>
              <w:t>motivação</w:t>
            </w:r>
          </w:p>
        </w:tc>
        <w:tc>
          <w:tcPr>
            <w:tcW w:type="dxa" w:w="3024"/>
          </w:tcPr>
          <w:p>
            <w:r/>
            <w:r>
              <w:rPr>
                <w:rFonts w:ascii="Times New Roman" w:hAnsi="Times New Roman"/>
                <w:b w:val="0"/>
                <w:sz w:val="20"/>
              </w:rPr>
              <w:t>10</w:t>
            </w:r>
          </w:p>
        </w:tc>
      </w:tr>
      <w:tr>
        <w:tc>
          <w:tcPr>
            <w:tcW w:type="dxa" w:w="3024"/>
          </w:tcPr>
          <w:p>
            <w:r/>
            <w:r>
              <w:rPr>
                <w:rFonts w:ascii="Times New Roman" w:hAnsi="Times New Roman"/>
                <w:b w:val="0"/>
                <w:sz w:val="20"/>
              </w:rPr>
              <w:t>POMS</w:t>
            </w:r>
          </w:p>
        </w:tc>
        <w:tc>
          <w:tcPr>
            <w:tcW w:type="dxa" w:w="3024"/>
          </w:tcPr>
          <w:p>
            <w:r/>
            <w:r>
              <w:rPr>
                <w:rFonts w:ascii="Times New Roman" w:hAnsi="Times New Roman"/>
                <w:b w:val="0"/>
                <w:sz w:val="20"/>
              </w:rPr>
              <w:t>humor e afeto</w:t>
            </w:r>
          </w:p>
        </w:tc>
        <w:tc>
          <w:tcPr>
            <w:tcW w:type="dxa" w:w="3024"/>
          </w:tcPr>
          <w:p>
            <w:r/>
            <w:r>
              <w:rPr>
                <w:rFonts w:ascii="Times New Roman" w:hAnsi="Times New Roman"/>
                <w:b w:val="0"/>
                <w:sz w:val="20"/>
              </w:rPr>
              <w:t>9</w:t>
            </w:r>
          </w:p>
        </w:tc>
      </w:tr>
      <w:tr>
        <w:tc>
          <w:tcPr>
            <w:tcW w:type="dxa" w:w="3024"/>
          </w:tcPr>
          <w:p>
            <w:r/>
            <w:r>
              <w:rPr>
                <w:rFonts w:ascii="Times New Roman" w:hAnsi="Times New Roman"/>
                <w:b w:val="0"/>
                <w:sz w:val="20"/>
              </w:rPr>
              <w:t>CSAI-2 / CSAI-2R</w:t>
            </w:r>
          </w:p>
        </w:tc>
        <w:tc>
          <w:tcPr>
            <w:tcW w:type="dxa" w:w="3024"/>
          </w:tcPr>
          <w:p>
            <w:r/>
            <w:r>
              <w:rPr>
                <w:rFonts w:ascii="Times New Roman" w:hAnsi="Times New Roman"/>
                <w:b w:val="0"/>
                <w:sz w:val="20"/>
              </w:rPr>
              <w:t>ansiedade e estresse</w:t>
            </w:r>
          </w:p>
        </w:tc>
        <w:tc>
          <w:tcPr>
            <w:tcW w:type="dxa" w:w="3024"/>
          </w:tcPr>
          <w:p>
            <w:r/>
            <w:r>
              <w:rPr>
                <w:rFonts w:ascii="Times New Roman" w:hAnsi="Times New Roman"/>
                <w:b w:val="0"/>
                <w:sz w:val="20"/>
              </w:rPr>
              <w:t>8</w:t>
            </w:r>
          </w:p>
        </w:tc>
      </w:tr>
      <w:tr>
        <w:tc>
          <w:tcPr>
            <w:tcW w:type="dxa" w:w="3024"/>
          </w:tcPr>
          <w:p>
            <w:r/>
            <w:r>
              <w:rPr>
                <w:rFonts w:ascii="Times New Roman" w:hAnsi="Times New Roman"/>
                <w:b w:val="0"/>
                <w:sz w:val="20"/>
              </w:rPr>
              <w:t>Questionário de bem-estar / wellness</w:t>
            </w:r>
          </w:p>
        </w:tc>
        <w:tc>
          <w:tcPr>
            <w:tcW w:type="dxa" w:w="3024"/>
          </w:tcPr>
          <w:p>
            <w:r/>
            <w:r>
              <w:rPr>
                <w:rFonts w:ascii="Times New Roman" w:hAnsi="Times New Roman"/>
                <w:b w:val="0"/>
                <w:sz w:val="20"/>
              </w:rPr>
              <w:t>sono e recuperação</w:t>
            </w:r>
          </w:p>
        </w:tc>
        <w:tc>
          <w:tcPr>
            <w:tcW w:type="dxa" w:w="3024"/>
          </w:tcPr>
          <w:p>
            <w:r/>
            <w:r>
              <w:rPr>
                <w:rFonts w:ascii="Times New Roman" w:hAnsi="Times New Roman"/>
                <w:b w:val="0"/>
                <w:sz w:val="20"/>
              </w:rPr>
              <w:t>7</w:t>
            </w:r>
          </w:p>
        </w:tc>
      </w:tr>
      <w:tr>
        <w:tc>
          <w:tcPr>
            <w:tcW w:type="dxa" w:w="3024"/>
          </w:tcPr>
          <w:p>
            <w:r/>
            <w:r>
              <w:rPr>
                <w:rFonts w:ascii="Times New Roman" w:hAnsi="Times New Roman"/>
                <w:b w:val="0"/>
                <w:sz w:val="20"/>
              </w:rPr>
              <w:t>PSQI</w:t>
            </w:r>
          </w:p>
        </w:tc>
        <w:tc>
          <w:tcPr>
            <w:tcW w:type="dxa" w:w="3024"/>
          </w:tcPr>
          <w:p>
            <w:r/>
            <w:r>
              <w:rPr>
                <w:rFonts w:ascii="Times New Roman" w:hAnsi="Times New Roman"/>
                <w:b w:val="0"/>
                <w:sz w:val="20"/>
              </w:rPr>
              <w:t>sono e recuperação</w:t>
            </w:r>
          </w:p>
        </w:tc>
        <w:tc>
          <w:tcPr>
            <w:tcW w:type="dxa" w:w="3024"/>
          </w:tcPr>
          <w:p>
            <w:r/>
            <w:r>
              <w:rPr>
                <w:rFonts w:ascii="Times New Roman" w:hAnsi="Times New Roman"/>
                <w:b w:val="0"/>
                <w:sz w:val="20"/>
              </w:rPr>
              <w:t>7</w:t>
            </w:r>
          </w:p>
        </w:tc>
      </w:tr>
      <w:tr>
        <w:tc>
          <w:tcPr>
            <w:tcW w:type="dxa" w:w="3024"/>
          </w:tcPr>
          <w:p>
            <w:r/>
            <w:r>
              <w:rPr>
                <w:rFonts w:ascii="Times New Roman" w:hAnsi="Times New Roman"/>
                <w:b w:val="0"/>
                <w:sz w:val="20"/>
              </w:rPr>
              <w:t>Índice de Hooper</w:t>
            </w:r>
          </w:p>
        </w:tc>
        <w:tc>
          <w:tcPr>
            <w:tcW w:type="dxa" w:w="3024"/>
          </w:tcPr>
          <w:p>
            <w:r/>
            <w:r>
              <w:rPr>
                <w:rFonts w:ascii="Times New Roman" w:hAnsi="Times New Roman"/>
                <w:b w:val="0"/>
                <w:sz w:val="20"/>
              </w:rPr>
              <w:t>sono e recuperação</w:t>
            </w:r>
          </w:p>
        </w:tc>
        <w:tc>
          <w:tcPr>
            <w:tcW w:type="dxa" w:w="3024"/>
          </w:tcPr>
          <w:p>
            <w:r/>
            <w:r>
              <w:rPr>
                <w:rFonts w:ascii="Times New Roman" w:hAnsi="Times New Roman"/>
                <w:b w:val="0"/>
                <w:sz w:val="20"/>
              </w:rPr>
              <w:t>6</w:t>
            </w:r>
          </w:p>
        </w:tc>
      </w:tr>
      <w:tr>
        <w:tc>
          <w:tcPr>
            <w:tcW w:type="dxa" w:w="3024"/>
          </w:tcPr>
          <w:p>
            <w:r/>
            <w:r>
              <w:rPr>
                <w:rFonts w:ascii="Times New Roman" w:hAnsi="Times New Roman"/>
                <w:b w:val="0"/>
                <w:sz w:val="20"/>
              </w:rPr>
              <w:t>Stroop</w:t>
            </w:r>
          </w:p>
        </w:tc>
        <w:tc>
          <w:tcPr>
            <w:tcW w:type="dxa" w:w="3024"/>
          </w:tcPr>
          <w:p>
            <w:r/>
            <w:r>
              <w:rPr>
                <w:rFonts w:ascii="Times New Roman" w:hAnsi="Times New Roman"/>
                <w:b w:val="0"/>
                <w:sz w:val="20"/>
              </w:rPr>
              <w:t>cognição e atenção</w:t>
            </w:r>
          </w:p>
        </w:tc>
        <w:tc>
          <w:tcPr>
            <w:tcW w:type="dxa" w:w="3024"/>
          </w:tcPr>
          <w:p>
            <w:r/>
            <w:r>
              <w:rPr>
                <w:rFonts w:ascii="Times New Roman" w:hAnsi="Times New Roman"/>
                <w:b w:val="0"/>
                <w:sz w:val="20"/>
              </w:rPr>
              <w:t>4</w:t>
            </w:r>
          </w:p>
        </w:tc>
      </w:tr>
      <w:tr>
        <w:tc>
          <w:tcPr>
            <w:tcW w:type="dxa" w:w="3024"/>
          </w:tcPr>
          <w:p>
            <w:r/>
            <w:r>
              <w:rPr>
                <w:rFonts w:ascii="Times New Roman" w:hAnsi="Times New Roman"/>
                <w:b w:val="0"/>
                <w:sz w:val="20"/>
              </w:rPr>
              <w:t>Teste de tomada de decisão em vídeo</w:t>
            </w:r>
          </w:p>
        </w:tc>
        <w:tc>
          <w:tcPr>
            <w:tcW w:type="dxa" w:w="3024"/>
          </w:tcPr>
          <w:p>
            <w:r/>
            <w:r>
              <w:rPr>
                <w:rFonts w:ascii="Times New Roman" w:hAnsi="Times New Roman"/>
                <w:b w:val="0"/>
                <w:sz w:val="20"/>
              </w:rPr>
              <w:t>cognição e atenção</w:t>
            </w:r>
          </w:p>
        </w:tc>
        <w:tc>
          <w:tcPr>
            <w:tcW w:type="dxa" w:w="3024"/>
          </w:tcPr>
          <w:p>
            <w:r/>
            <w:r>
              <w:rPr>
                <w:rFonts w:ascii="Times New Roman" w:hAnsi="Times New Roman"/>
                <w:b w:val="0"/>
                <w:sz w:val="20"/>
              </w:rPr>
              <w:t>4</w:t>
            </w:r>
          </w:p>
        </w:tc>
      </w:tr>
      <w:tr>
        <w:tc>
          <w:tcPr>
            <w:tcW w:type="dxa" w:w="3024"/>
          </w:tcPr>
          <w:p>
            <w:r/>
            <w:r>
              <w:rPr>
                <w:rFonts w:ascii="Times New Roman" w:hAnsi="Times New Roman"/>
                <w:b w:val="0"/>
                <w:sz w:val="20"/>
              </w:rPr>
              <w:t>EAT-26 / imagem corporal</w:t>
            </w:r>
          </w:p>
        </w:tc>
        <w:tc>
          <w:tcPr>
            <w:tcW w:type="dxa" w:w="3024"/>
          </w:tcPr>
          <w:p>
            <w:r/>
            <w:r>
              <w:rPr>
                <w:rFonts w:ascii="Times New Roman" w:hAnsi="Times New Roman"/>
                <w:b w:val="0"/>
                <w:sz w:val="20"/>
              </w:rPr>
              <w:t>burnout e saúde mental</w:t>
            </w:r>
          </w:p>
        </w:tc>
        <w:tc>
          <w:tcPr>
            <w:tcW w:type="dxa" w:w="3024"/>
          </w:tcPr>
          <w:p>
            <w:r/>
            <w:r>
              <w:rPr>
                <w:rFonts w:ascii="Times New Roman" w:hAnsi="Times New Roman"/>
                <w:b w:val="0"/>
                <w:sz w:val="20"/>
              </w:rPr>
              <w:t>4</w:t>
            </w:r>
          </w:p>
        </w:tc>
      </w:tr>
      <w:tr>
        <w:tc>
          <w:tcPr>
            <w:tcW w:type="dxa" w:w="3024"/>
          </w:tcPr>
          <w:p>
            <w:r/>
            <w:r>
              <w:rPr>
                <w:rFonts w:ascii="Times New Roman" w:hAnsi="Times New Roman"/>
                <w:b w:val="0"/>
                <w:sz w:val="20"/>
              </w:rPr>
              <w:t>TQR</w:t>
            </w:r>
          </w:p>
        </w:tc>
        <w:tc>
          <w:tcPr>
            <w:tcW w:type="dxa" w:w="3024"/>
          </w:tcPr>
          <w:p>
            <w:r/>
            <w:r>
              <w:rPr>
                <w:rFonts w:ascii="Times New Roman" w:hAnsi="Times New Roman"/>
                <w:b w:val="0"/>
                <w:sz w:val="20"/>
              </w:rPr>
              <w:t>sono e recuperação</w:t>
            </w:r>
          </w:p>
        </w:tc>
        <w:tc>
          <w:tcPr>
            <w:tcW w:type="dxa" w:w="3024"/>
          </w:tcPr>
          <w:p>
            <w:r/>
            <w:r>
              <w:rPr>
                <w:rFonts w:ascii="Times New Roman" w:hAnsi="Times New Roman"/>
                <w:b w:val="0"/>
                <w:sz w:val="20"/>
              </w:rPr>
              <w:t>3</w:t>
            </w:r>
          </w:p>
        </w:tc>
      </w:tr>
      <w:tr>
        <w:tc>
          <w:tcPr>
            <w:tcW w:type="dxa" w:w="3024"/>
          </w:tcPr>
          <w:p>
            <w:r/>
            <w:r>
              <w:rPr>
                <w:rFonts w:ascii="Times New Roman" w:hAnsi="Times New Roman"/>
                <w:b w:val="0"/>
                <w:sz w:val="20"/>
              </w:rPr>
              <w:t>Big Five (BFI / TIPI)</w:t>
            </w:r>
          </w:p>
        </w:tc>
        <w:tc>
          <w:tcPr>
            <w:tcW w:type="dxa" w:w="3024"/>
          </w:tcPr>
          <w:p>
            <w:r/>
            <w:r>
              <w:rPr>
                <w:rFonts w:ascii="Times New Roman" w:hAnsi="Times New Roman"/>
                <w:b w:val="0"/>
                <w:sz w:val="20"/>
              </w:rPr>
              <w:t>personalidade</w:t>
            </w:r>
          </w:p>
        </w:tc>
        <w:tc>
          <w:tcPr>
            <w:tcW w:type="dxa" w:w="3024"/>
          </w:tcPr>
          <w:p>
            <w:r/>
            <w:r>
              <w:rPr>
                <w:rFonts w:ascii="Times New Roman" w:hAnsi="Times New Roman"/>
                <w:b w:val="0"/>
                <w:sz w:val="20"/>
              </w:rPr>
              <w:t>3</w:t>
            </w:r>
          </w:p>
        </w:tc>
      </w:tr>
      <w:tr>
        <w:tc>
          <w:tcPr>
            <w:tcW w:type="dxa" w:w="3024"/>
          </w:tcPr>
          <w:p>
            <w:r/>
            <w:r>
              <w:rPr>
                <w:rFonts w:ascii="Times New Roman" w:hAnsi="Times New Roman"/>
                <w:b w:val="0"/>
                <w:sz w:val="20"/>
              </w:rPr>
              <w:t>CART-Q</w:t>
            </w:r>
          </w:p>
        </w:tc>
        <w:tc>
          <w:tcPr>
            <w:tcW w:type="dxa" w:w="3024"/>
          </w:tcPr>
          <w:p>
            <w:r/>
            <w:r>
              <w:rPr>
                <w:rFonts w:ascii="Times New Roman" w:hAnsi="Times New Roman"/>
                <w:b w:val="0"/>
                <w:sz w:val="20"/>
              </w:rPr>
              <w:t>coesão e grupo</w:t>
            </w:r>
          </w:p>
        </w:tc>
        <w:tc>
          <w:tcPr>
            <w:tcW w:type="dxa" w:w="3024"/>
          </w:tcPr>
          <w:p>
            <w:r/>
            <w:r>
              <w:rPr>
                <w:rFonts w:ascii="Times New Roman" w:hAnsi="Times New Roman"/>
                <w:b w:val="0"/>
                <w:sz w:val="20"/>
              </w:rPr>
              <w:t>3</w:t>
            </w:r>
          </w:p>
        </w:tc>
      </w:tr>
      <w:tr>
        <w:tc>
          <w:tcPr>
            <w:tcW w:type="dxa" w:w="3024"/>
          </w:tcPr>
          <w:p>
            <w:r/>
            <w:r>
              <w:rPr>
                <w:rFonts w:ascii="Times New Roman" w:hAnsi="Times New Roman"/>
                <w:b w:val="0"/>
                <w:sz w:val="20"/>
              </w:rPr>
              <w:t>Vienna Test System</w:t>
            </w:r>
          </w:p>
        </w:tc>
        <w:tc>
          <w:tcPr>
            <w:tcW w:type="dxa" w:w="3024"/>
          </w:tcPr>
          <w:p>
            <w:r/>
            <w:r>
              <w:rPr>
                <w:rFonts w:ascii="Times New Roman" w:hAnsi="Times New Roman"/>
                <w:b w:val="0"/>
                <w:sz w:val="20"/>
              </w:rPr>
              <w:t>cognição e atenção</w:t>
            </w:r>
          </w:p>
        </w:tc>
        <w:tc>
          <w:tcPr>
            <w:tcW w:type="dxa" w:w="3024"/>
          </w:tcPr>
          <w:p>
            <w:r/>
            <w:r>
              <w:rPr>
                <w:rFonts w:ascii="Times New Roman" w:hAnsi="Times New Roman"/>
                <w:b w:val="0"/>
                <w:sz w:val="20"/>
              </w:rPr>
              <w:t>3</w:t>
            </w:r>
          </w:p>
        </w:tc>
      </w:tr>
      <w:tr>
        <w:tc>
          <w:tcPr>
            <w:tcW w:type="dxa" w:w="3024"/>
          </w:tcPr>
          <w:p>
            <w:r/>
            <w:r>
              <w:rPr>
                <w:rFonts w:ascii="Times New Roman" w:hAnsi="Times New Roman"/>
                <w:b w:val="0"/>
                <w:sz w:val="20"/>
              </w:rPr>
              <w:t>Epworth (ESS)</w:t>
            </w:r>
          </w:p>
        </w:tc>
        <w:tc>
          <w:tcPr>
            <w:tcW w:type="dxa" w:w="3024"/>
          </w:tcPr>
          <w:p>
            <w:r/>
            <w:r>
              <w:rPr>
                <w:rFonts w:ascii="Times New Roman" w:hAnsi="Times New Roman"/>
                <w:b w:val="0"/>
                <w:sz w:val="20"/>
              </w:rPr>
              <w:t>sono e recuperação</w:t>
            </w:r>
          </w:p>
        </w:tc>
        <w:tc>
          <w:tcPr>
            <w:tcW w:type="dxa" w:w="3024"/>
          </w:tcPr>
          <w:p>
            <w:r/>
            <w:r>
              <w:rPr>
                <w:rFonts w:ascii="Times New Roman" w:hAnsi="Times New Roman"/>
                <w:b w:val="0"/>
                <w:sz w:val="20"/>
              </w:rPr>
              <w:t>3</w:t>
            </w:r>
          </w:p>
        </w:tc>
      </w:tr>
      <w:tr>
        <w:tc>
          <w:tcPr>
            <w:tcW w:type="dxa" w:w="3024"/>
          </w:tcPr>
          <w:p>
            <w:r/>
            <w:r>
              <w:rPr>
                <w:rFonts w:ascii="Times New Roman" w:hAnsi="Times New Roman"/>
                <w:b w:val="0"/>
                <w:sz w:val="20"/>
              </w:rPr>
              <w:t>PSS (Perceived Stress Scale)</w:t>
            </w:r>
          </w:p>
        </w:tc>
        <w:tc>
          <w:tcPr>
            <w:tcW w:type="dxa" w:w="3024"/>
          </w:tcPr>
          <w:p>
            <w:r/>
            <w:r>
              <w:rPr>
                <w:rFonts w:ascii="Times New Roman" w:hAnsi="Times New Roman"/>
                <w:b w:val="0"/>
                <w:sz w:val="20"/>
              </w:rPr>
              <w:t>ansiedade e estresse</w:t>
            </w:r>
          </w:p>
        </w:tc>
        <w:tc>
          <w:tcPr>
            <w:tcW w:type="dxa" w:w="3024"/>
          </w:tcPr>
          <w:p>
            <w:r/>
            <w:r>
              <w:rPr>
                <w:rFonts w:ascii="Times New Roman" w:hAnsi="Times New Roman"/>
                <w:b w:val="0"/>
                <w:sz w:val="20"/>
              </w:rPr>
              <w:t>2</w:t>
            </w:r>
          </w:p>
        </w:tc>
      </w:tr>
      <w:tr>
        <w:tc>
          <w:tcPr>
            <w:tcW w:type="dxa" w:w="3024"/>
          </w:tcPr>
          <w:p>
            <w:r/>
            <w:r>
              <w:rPr>
                <w:rFonts w:ascii="Times New Roman" w:hAnsi="Times New Roman"/>
                <w:b w:val="0"/>
                <w:sz w:val="20"/>
              </w:rPr>
              <w:t>NEO-FFI / NEO-PI-R</w:t>
            </w:r>
          </w:p>
        </w:tc>
        <w:tc>
          <w:tcPr>
            <w:tcW w:type="dxa" w:w="3024"/>
          </w:tcPr>
          <w:p>
            <w:r/>
            <w:r>
              <w:rPr>
                <w:rFonts w:ascii="Times New Roman" w:hAnsi="Times New Roman"/>
                <w:b w:val="0"/>
                <w:sz w:val="20"/>
              </w:rPr>
              <w:t>personalidade</w:t>
            </w:r>
          </w:p>
        </w:tc>
        <w:tc>
          <w:tcPr>
            <w:tcW w:type="dxa" w:w="3024"/>
          </w:tcPr>
          <w:p>
            <w:r/>
            <w:r>
              <w:rPr>
                <w:rFonts w:ascii="Times New Roman" w:hAnsi="Times New Roman"/>
                <w:b w:val="0"/>
                <w:sz w:val="20"/>
              </w:rPr>
              <w:t>2</w:t>
            </w:r>
          </w:p>
        </w:tc>
      </w:tr>
      <w:tr>
        <w:tc>
          <w:tcPr>
            <w:tcW w:type="dxa" w:w="3024"/>
          </w:tcPr>
          <w:p>
            <w:r/>
            <w:r>
              <w:rPr>
                <w:rFonts w:ascii="Times New Roman" w:hAnsi="Times New Roman"/>
                <w:b w:val="0"/>
                <w:sz w:val="20"/>
              </w:rPr>
              <w:t>DASS-21</w:t>
            </w:r>
          </w:p>
        </w:tc>
        <w:tc>
          <w:tcPr>
            <w:tcW w:type="dxa" w:w="3024"/>
          </w:tcPr>
          <w:p>
            <w:r/>
            <w:r>
              <w:rPr>
                <w:rFonts w:ascii="Times New Roman" w:hAnsi="Times New Roman"/>
                <w:b w:val="0"/>
                <w:sz w:val="20"/>
              </w:rPr>
              <w:t>burnout e saúde mental</w:t>
            </w:r>
          </w:p>
        </w:tc>
        <w:tc>
          <w:tcPr>
            <w:tcW w:type="dxa" w:w="3024"/>
          </w:tcPr>
          <w:p>
            <w:r/>
            <w:r>
              <w:rPr>
                <w:rFonts w:ascii="Times New Roman" w:hAnsi="Times New Roman"/>
                <w:b w:val="0"/>
                <w:sz w:val="20"/>
              </w:rPr>
              <w:t>2</w:t>
            </w:r>
          </w:p>
        </w:tc>
      </w:tr>
      <w:tr>
        <w:tc>
          <w:tcPr>
            <w:tcW w:type="dxa" w:w="3024"/>
          </w:tcPr>
          <w:p>
            <w:r/>
            <w:r>
              <w:rPr>
                <w:rFonts w:ascii="Times New Roman" w:hAnsi="Times New Roman"/>
                <w:b w:val="0"/>
                <w:sz w:val="20"/>
              </w:rPr>
              <w:t>Rosenberg (RSES)</w:t>
            </w:r>
          </w:p>
        </w:tc>
        <w:tc>
          <w:tcPr>
            <w:tcW w:type="dxa" w:w="3024"/>
          </w:tcPr>
          <w:p>
            <w:r/>
            <w:r>
              <w:rPr>
                <w:rFonts w:ascii="Times New Roman" w:hAnsi="Times New Roman"/>
                <w:b w:val="0"/>
                <w:sz w:val="20"/>
              </w:rPr>
              <w:t>autoeficácia e confiança</w:t>
            </w:r>
          </w:p>
        </w:tc>
        <w:tc>
          <w:tcPr>
            <w:tcW w:type="dxa" w:w="3024"/>
          </w:tcPr>
          <w:p>
            <w:r/>
            <w:r>
              <w:rPr>
                <w:rFonts w:ascii="Times New Roman" w:hAnsi="Times New Roman"/>
                <w:b w:val="0"/>
                <w:sz w:val="20"/>
              </w:rPr>
              <w:t>2</w:t>
            </w:r>
          </w:p>
        </w:tc>
      </w:tr>
      <w:tr>
        <w:tc>
          <w:tcPr>
            <w:tcW w:type="dxa" w:w="3024"/>
          </w:tcPr>
          <w:p>
            <w:r/>
            <w:r>
              <w:rPr>
                <w:rFonts w:ascii="Times New Roman" w:hAnsi="Times New Roman"/>
                <w:b w:val="0"/>
                <w:sz w:val="20"/>
              </w:rPr>
              <w:t>ABQ (Athlete Burnout Questionnaire)</w:t>
            </w:r>
          </w:p>
        </w:tc>
        <w:tc>
          <w:tcPr>
            <w:tcW w:type="dxa" w:w="3024"/>
          </w:tcPr>
          <w:p>
            <w:r/>
            <w:r>
              <w:rPr>
                <w:rFonts w:ascii="Times New Roman" w:hAnsi="Times New Roman"/>
                <w:b w:val="0"/>
                <w:sz w:val="20"/>
              </w:rPr>
              <w:t>burnout e saúde mental</w:t>
            </w:r>
          </w:p>
        </w:tc>
        <w:tc>
          <w:tcPr>
            <w:tcW w:type="dxa" w:w="3024"/>
          </w:tcPr>
          <w:p>
            <w:r/>
            <w:r>
              <w:rPr>
                <w:rFonts w:ascii="Times New Roman" w:hAnsi="Times New Roman"/>
                <w:b w:val="0"/>
                <w:sz w:val="20"/>
              </w:rPr>
              <w:t>2</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Base: 96 dos 483 registros elegíveis nomeiam ao menos um instrumento. A detecção corre sobre título, resumo e palavras-chave por dicionário controlado; estudos que nomeiam o instrumento apenas na seção de método não são alcançados, de modo que estes números são um piso. Escalas de percepção de esforço não constam: são medidas psicofísicas, não psicometria de construto.</w:t>
      </w:r>
    </w:p>
    <w:p>
      <w:pPr>
        <w:spacing w:line="240" w:lineRule="auto" w:after="120"/>
        <w:ind w:firstLine="0"/>
        <w:jc w:val="both"/>
      </w:pPr>
      <w:r>
        <w:rPr>
          <w:rFonts w:ascii="Times New Roman" w:hAnsi="Times New Roman"/>
          <w:b w:val="0"/>
          <w:i w:val="0"/>
          <w:sz w:val="24"/>
        </w:rPr>
      </w:r>
    </w:p>
    <w:p>
      <w:pPr>
        <w:spacing w:line="240" w:lineRule="auto" w:after="120"/>
        <w:ind w:firstLine="0"/>
        <w:jc w:val="left"/>
      </w:pPr>
      <w:r>
        <w:rPr>
          <w:rFonts w:ascii="Times New Roman" w:hAnsi="Times New Roman"/>
          <w:b w:val="0"/>
          <w:i w:val="0"/>
          <w:sz w:val="20"/>
        </w:rPr>
        <w:t>Tabela 6 – Distribuição geográfica dos registros elegíveis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País</w:t>
            </w:r>
          </w:p>
        </w:tc>
        <w:tc>
          <w:tcPr>
            <w:tcW w:type="dxa" w:w="3024"/>
          </w:tcPr>
          <w:p>
            <w:r/>
            <w:r>
              <w:rPr>
                <w:rFonts w:ascii="Times New Roman" w:hAnsi="Times New Roman"/>
                <w:b/>
                <w:sz w:val="20"/>
              </w:rPr>
              <w:t>Registros</w:t>
            </w:r>
          </w:p>
        </w:tc>
        <w:tc>
          <w:tcPr>
            <w:tcW w:type="dxa" w:w="3024"/>
          </w:tcPr>
          <w:p>
            <w:r/>
            <w:r>
              <w:rPr>
                <w:rFonts w:ascii="Times New Roman" w:hAnsi="Times New Roman"/>
                <w:b/>
                <w:sz w:val="20"/>
              </w:rPr>
              <w:t>%</w:t>
            </w:r>
          </w:p>
        </w:tc>
      </w:tr>
      <w:tr>
        <w:tc>
          <w:tcPr>
            <w:tcW w:type="dxa" w:w="3024"/>
          </w:tcPr>
          <w:p>
            <w:r/>
            <w:r>
              <w:rPr>
                <w:rFonts w:ascii="Times New Roman" w:hAnsi="Times New Roman"/>
                <w:b w:val="0"/>
                <w:sz w:val="20"/>
              </w:rPr>
              <w:t>Alemanha</w:t>
            </w:r>
          </w:p>
        </w:tc>
        <w:tc>
          <w:tcPr>
            <w:tcW w:type="dxa" w:w="3024"/>
          </w:tcPr>
          <w:p>
            <w:r/>
            <w:r>
              <w:rPr>
                <w:rFonts w:ascii="Times New Roman" w:hAnsi="Times New Roman"/>
                <w:b w:val="0"/>
                <w:sz w:val="20"/>
              </w:rPr>
              <w:t>61</w:t>
            </w:r>
          </w:p>
        </w:tc>
        <w:tc>
          <w:tcPr>
            <w:tcW w:type="dxa" w:w="3024"/>
          </w:tcPr>
          <w:p>
            <w:r/>
            <w:r>
              <w:rPr>
                <w:rFonts w:ascii="Times New Roman" w:hAnsi="Times New Roman"/>
                <w:b w:val="0"/>
                <w:sz w:val="20"/>
              </w:rPr>
              <w:t>12,6</w:t>
            </w:r>
          </w:p>
        </w:tc>
      </w:tr>
      <w:tr>
        <w:tc>
          <w:tcPr>
            <w:tcW w:type="dxa" w:w="3024"/>
          </w:tcPr>
          <w:p>
            <w:r/>
            <w:r>
              <w:rPr>
                <w:rFonts w:ascii="Times New Roman" w:hAnsi="Times New Roman"/>
                <w:b w:val="0"/>
                <w:sz w:val="20"/>
              </w:rPr>
              <w:t>Espanha</w:t>
            </w:r>
          </w:p>
        </w:tc>
        <w:tc>
          <w:tcPr>
            <w:tcW w:type="dxa" w:w="3024"/>
          </w:tcPr>
          <w:p>
            <w:r/>
            <w:r>
              <w:rPr>
                <w:rFonts w:ascii="Times New Roman" w:hAnsi="Times New Roman"/>
                <w:b w:val="0"/>
                <w:sz w:val="20"/>
              </w:rPr>
              <w:t>49</w:t>
            </w:r>
          </w:p>
        </w:tc>
        <w:tc>
          <w:tcPr>
            <w:tcW w:type="dxa" w:w="3024"/>
          </w:tcPr>
          <w:p>
            <w:r/>
            <w:r>
              <w:rPr>
                <w:rFonts w:ascii="Times New Roman" w:hAnsi="Times New Roman"/>
                <w:b w:val="0"/>
                <w:sz w:val="20"/>
              </w:rPr>
              <w:t>10,1</w:t>
            </w:r>
          </w:p>
        </w:tc>
      </w:tr>
      <w:tr>
        <w:tc>
          <w:tcPr>
            <w:tcW w:type="dxa" w:w="3024"/>
          </w:tcPr>
          <w:p>
            <w:r/>
            <w:r>
              <w:rPr>
                <w:rFonts w:ascii="Times New Roman" w:hAnsi="Times New Roman"/>
                <w:b w:val="0"/>
                <w:sz w:val="20"/>
              </w:rPr>
              <w:t>Noruega</w:t>
            </w:r>
          </w:p>
        </w:tc>
        <w:tc>
          <w:tcPr>
            <w:tcW w:type="dxa" w:w="3024"/>
          </w:tcPr>
          <w:p>
            <w:r/>
            <w:r>
              <w:rPr>
                <w:rFonts w:ascii="Times New Roman" w:hAnsi="Times New Roman"/>
                <w:b w:val="0"/>
                <w:sz w:val="20"/>
              </w:rPr>
              <w:t>23</w:t>
            </w:r>
          </w:p>
        </w:tc>
        <w:tc>
          <w:tcPr>
            <w:tcW w:type="dxa" w:w="3024"/>
          </w:tcPr>
          <w:p>
            <w:r/>
            <w:r>
              <w:rPr>
                <w:rFonts w:ascii="Times New Roman" w:hAnsi="Times New Roman"/>
                <w:b w:val="0"/>
                <w:sz w:val="20"/>
              </w:rPr>
              <w:t>4,8</w:t>
            </w:r>
          </w:p>
        </w:tc>
      </w:tr>
      <w:tr>
        <w:tc>
          <w:tcPr>
            <w:tcW w:type="dxa" w:w="3024"/>
          </w:tcPr>
          <w:p>
            <w:r/>
            <w:r>
              <w:rPr>
                <w:rFonts w:ascii="Times New Roman" w:hAnsi="Times New Roman"/>
                <w:b w:val="0"/>
                <w:sz w:val="20"/>
              </w:rPr>
              <w:t>Polônia</w:t>
            </w:r>
          </w:p>
        </w:tc>
        <w:tc>
          <w:tcPr>
            <w:tcW w:type="dxa" w:w="3024"/>
          </w:tcPr>
          <w:p>
            <w:r/>
            <w:r>
              <w:rPr>
                <w:rFonts w:ascii="Times New Roman" w:hAnsi="Times New Roman"/>
                <w:b w:val="0"/>
                <w:sz w:val="20"/>
              </w:rPr>
              <w:t>17</w:t>
            </w:r>
          </w:p>
        </w:tc>
        <w:tc>
          <w:tcPr>
            <w:tcW w:type="dxa" w:w="3024"/>
          </w:tcPr>
          <w:p>
            <w:r/>
            <w:r>
              <w:rPr>
                <w:rFonts w:ascii="Times New Roman" w:hAnsi="Times New Roman"/>
                <w:b w:val="0"/>
                <w:sz w:val="20"/>
              </w:rPr>
              <w:t>3,5</w:t>
            </w:r>
          </w:p>
        </w:tc>
      </w:tr>
      <w:tr>
        <w:tc>
          <w:tcPr>
            <w:tcW w:type="dxa" w:w="3024"/>
          </w:tcPr>
          <w:p>
            <w:r/>
            <w:r>
              <w:rPr>
                <w:rFonts w:ascii="Times New Roman" w:hAnsi="Times New Roman"/>
                <w:b w:val="0"/>
                <w:sz w:val="20"/>
              </w:rPr>
              <w:t>Brasil</w:t>
            </w:r>
          </w:p>
        </w:tc>
        <w:tc>
          <w:tcPr>
            <w:tcW w:type="dxa" w:w="3024"/>
          </w:tcPr>
          <w:p>
            <w:r/>
            <w:r>
              <w:rPr>
                <w:rFonts w:ascii="Times New Roman" w:hAnsi="Times New Roman"/>
                <w:b w:val="0"/>
                <w:sz w:val="20"/>
              </w:rPr>
              <w:t>17</w:t>
            </w:r>
          </w:p>
        </w:tc>
        <w:tc>
          <w:tcPr>
            <w:tcW w:type="dxa" w:w="3024"/>
          </w:tcPr>
          <w:p>
            <w:r/>
            <w:r>
              <w:rPr>
                <w:rFonts w:ascii="Times New Roman" w:hAnsi="Times New Roman"/>
                <w:b w:val="0"/>
                <w:sz w:val="20"/>
              </w:rPr>
              <w:t>3,5</w:t>
            </w:r>
          </w:p>
        </w:tc>
      </w:tr>
      <w:tr>
        <w:tc>
          <w:tcPr>
            <w:tcW w:type="dxa" w:w="3024"/>
          </w:tcPr>
          <w:p>
            <w:r/>
            <w:r>
              <w:rPr>
                <w:rFonts w:ascii="Times New Roman" w:hAnsi="Times New Roman"/>
                <w:b w:val="0"/>
                <w:sz w:val="20"/>
              </w:rPr>
              <w:t>Tunísia</w:t>
            </w:r>
          </w:p>
        </w:tc>
        <w:tc>
          <w:tcPr>
            <w:tcW w:type="dxa" w:w="3024"/>
          </w:tcPr>
          <w:p>
            <w:r/>
            <w:r>
              <w:rPr>
                <w:rFonts w:ascii="Times New Roman" w:hAnsi="Times New Roman"/>
                <w:b w:val="0"/>
                <w:sz w:val="20"/>
              </w:rPr>
              <w:t>16</w:t>
            </w:r>
          </w:p>
        </w:tc>
        <w:tc>
          <w:tcPr>
            <w:tcW w:type="dxa" w:w="3024"/>
          </w:tcPr>
          <w:p>
            <w:r/>
            <w:r>
              <w:rPr>
                <w:rFonts w:ascii="Times New Roman" w:hAnsi="Times New Roman"/>
                <w:b w:val="0"/>
                <w:sz w:val="20"/>
              </w:rPr>
              <w:t>3,3</w:t>
            </w:r>
          </w:p>
        </w:tc>
      </w:tr>
      <w:tr>
        <w:tc>
          <w:tcPr>
            <w:tcW w:type="dxa" w:w="3024"/>
          </w:tcPr>
          <w:p>
            <w:r/>
            <w:r>
              <w:rPr>
                <w:rFonts w:ascii="Times New Roman" w:hAnsi="Times New Roman"/>
                <w:b w:val="0"/>
                <w:sz w:val="20"/>
              </w:rPr>
              <w:t>Portugal</w:t>
            </w:r>
          </w:p>
        </w:tc>
        <w:tc>
          <w:tcPr>
            <w:tcW w:type="dxa" w:w="3024"/>
          </w:tcPr>
          <w:p>
            <w:r/>
            <w:r>
              <w:rPr>
                <w:rFonts w:ascii="Times New Roman" w:hAnsi="Times New Roman"/>
                <w:b w:val="0"/>
                <w:sz w:val="20"/>
              </w:rPr>
              <w:t>14</w:t>
            </w:r>
          </w:p>
        </w:tc>
        <w:tc>
          <w:tcPr>
            <w:tcW w:type="dxa" w:w="3024"/>
          </w:tcPr>
          <w:p>
            <w:r/>
            <w:r>
              <w:rPr>
                <w:rFonts w:ascii="Times New Roman" w:hAnsi="Times New Roman"/>
                <w:b w:val="0"/>
                <w:sz w:val="20"/>
              </w:rPr>
              <w:t>2,9</w:t>
            </w:r>
          </w:p>
        </w:tc>
      </w:tr>
      <w:tr>
        <w:tc>
          <w:tcPr>
            <w:tcW w:type="dxa" w:w="3024"/>
          </w:tcPr>
          <w:p>
            <w:r/>
            <w:r>
              <w:rPr>
                <w:rFonts w:ascii="Times New Roman" w:hAnsi="Times New Roman"/>
                <w:b w:val="0"/>
                <w:sz w:val="20"/>
              </w:rPr>
              <w:t>França</w:t>
            </w:r>
          </w:p>
        </w:tc>
        <w:tc>
          <w:tcPr>
            <w:tcW w:type="dxa" w:w="3024"/>
          </w:tcPr>
          <w:p>
            <w:r/>
            <w:r>
              <w:rPr>
                <w:rFonts w:ascii="Times New Roman" w:hAnsi="Times New Roman"/>
                <w:b w:val="0"/>
                <w:sz w:val="20"/>
              </w:rPr>
              <w:t>14</w:t>
            </w:r>
          </w:p>
        </w:tc>
        <w:tc>
          <w:tcPr>
            <w:tcW w:type="dxa" w:w="3024"/>
          </w:tcPr>
          <w:p>
            <w:r/>
            <w:r>
              <w:rPr>
                <w:rFonts w:ascii="Times New Roman" w:hAnsi="Times New Roman"/>
                <w:b w:val="0"/>
                <w:sz w:val="20"/>
              </w:rPr>
              <w:t>2,9</w:t>
            </w:r>
          </w:p>
        </w:tc>
      </w:tr>
      <w:tr>
        <w:tc>
          <w:tcPr>
            <w:tcW w:type="dxa" w:w="3024"/>
          </w:tcPr>
          <w:p>
            <w:r/>
            <w:r>
              <w:rPr>
                <w:rFonts w:ascii="Times New Roman" w:hAnsi="Times New Roman"/>
                <w:b w:val="0"/>
                <w:sz w:val="20"/>
              </w:rPr>
              <w:t>Dinamarca</w:t>
            </w:r>
          </w:p>
        </w:tc>
        <w:tc>
          <w:tcPr>
            <w:tcW w:type="dxa" w:w="3024"/>
          </w:tcPr>
          <w:p>
            <w:r/>
            <w:r>
              <w:rPr>
                <w:rFonts w:ascii="Times New Roman" w:hAnsi="Times New Roman"/>
                <w:b w:val="0"/>
                <w:sz w:val="20"/>
              </w:rPr>
              <w:t>13</w:t>
            </w:r>
          </w:p>
        </w:tc>
        <w:tc>
          <w:tcPr>
            <w:tcW w:type="dxa" w:w="3024"/>
          </w:tcPr>
          <w:p>
            <w:r/>
            <w:r>
              <w:rPr>
                <w:rFonts w:ascii="Times New Roman" w:hAnsi="Times New Roman"/>
                <w:b w:val="0"/>
                <w:sz w:val="20"/>
              </w:rPr>
              <w:t>2,7</w:t>
            </w:r>
          </w:p>
        </w:tc>
      </w:tr>
      <w:tr>
        <w:tc>
          <w:tcPr>
            <w:tcW w:type="dxa" w:w="3024"/>
          </w:tcPr>
          <w:p>
            <w:r/>
            <w:r>
              <w:rPr>
                <w:rFonts w:ascii="Times New Roman" w:hAnsi="Times New Roman"/>
                <w:b w:val="0"/>
                <w:sz w:val="20"/>
              </w:rPr>
              <w:t>Turquia</w:t>
            </w:r>
          </w:p>
        </w:tc>
        <w:tc>
          <w:tcPr>
            <w:tcW w:type="dxa" w:w="3024"/>
          </w:tcPr>
          <w:p>
            <w:r/>
            <w:r>
              <w:rPr>
                <w:rFonts w:ascii="Times New Roman" w:hAnsi="Times New Roman"/>
                <w:b w:val="0"/>
                <w:sz w:val="20"/>
              </w:rPr>
              <w:t>11</w:t>
            </w:r>
          </w:p>
        </w:tc>
        <w:tc>
          <w:tcPr>
            <w:tcW w:type="dxa" w:w="3024"/>
          </w:tcPr>
          <w:p>
            <w:r/>
            <w:r>
              <w:rPr>
                <w:rFonts w:ascii="Times New Roman" w:hAnsi="Times New Roman"/>
                <w:b w:val="0"/>
                <w:sz w:val="20"/>
              </w:rPr>
              <w:t>2,3</w:t>
            </w:r>
          </w:p>
        </w:tc>
      </w:tr>
      <w:tr>
        <w:tc>
          <w:tcPr>
            <w:tcW w:type="dxa" w:w="3024"/>
          </w:tcPr>
          <w:p>
            <w:r/>
            <w:r>
              <w:rPr>
                <w:rFonts w:ascii="Times New Roman" w:hAnsi="Times New Roman"/>
                <w:b w:val="0"/>
                <w:sz w:val="20"/>
              </w:rPr>
              <w:t>Suécia</w:t>
            </w:r>
          </w:p>
        </w:tc>
        <w:tc>
          <w:tcPr>
            <w:tcW w:type="dxa" w:w="3024"/>
          </w:tcPr>
          <w:p>
            <w:r/>
            <w:r>
              <w:rPr>
                <w:rFonts w:ascii="Times New Roman" w:hAnsi="Times New Roman"/>
                <w:b w:val="0"/>
                <w:sz w:val="20"/>
              </w:rPr>
              <w:t>11</w:t>
            </w:r>
          </w:p>
        </w:tc>
        <w:tc>
          <w:tcPr>
            <w:tcW w:type="dxa" w:w="3024"/>
          </w:tcPr>
          <w:p>
            <w:r/>
            <w:r>
              <w:rPr>
                <w:rFonts w:ascii="Times New Roman" w:hAnsi="Times New Roman"/>
                <w:b w:val="0"/>
                <w:sz w:val="20"/>
              </w:rPr>
              <w:t>2,3</w:t>
            </w:r>
          </w:p>
        </w:tc>
      </w:tr>
      <w:tr>
        <w:tc>
          <w:tcPr>
            <w:tcW w:type="dxa" w:w="3024"/>
          </w:tcPr>
          <w:p>
            <w:r/>
            <w:r>
              <w:rPr>
                <w:rFonts w:ascii="Times New Roman" w:hAnsi="Times New Roman"/>
                <w:b w:val="0"/>
                <w:sz w:val="20"/>
              </w:rPr>
              <w:t>Hungria</w:t>
            </w:r>
          </w:p>
        </w:tc>
        <w:tc>
          <w:tcPr>
            <w:tcW w:type="dxa" w:w="3024"/>
          </w:tcPr>
          <w:p>
            <w:r/>
            <w:r>
              <w:rPr>
                <w:rFonts w:ascii="Times New Roman" w:hAnsi="Times New Roman"/>
                <w:b w:val="0"/>
                <w:sz w:val="20"/>
              </w:rPr>
              <w:t>10</w:t>
            </w:r>
          </w:p>
        </w:tc>
        <w:tc>
          <w:tcPr>
            <w:tcW w:type="dxa" w:w="3024"/>
          </w:tcPr>
          <w:p>
            <w:r/>
            <w:r>
              <w:rPr>
                <w:rFonts w:ascii="Times New Roman" w:hAnsi="Times New Roman"/>
                <w:b w:val="0"/>
                <w:sz w:val="20"/>
              </w:rPr>
              <w:t>2,1</w:t>
            </w:r>
          </w:p>
        </w:tc>
      </w:tr>
      <w:tr>
        <w:tc>
          <w:tcPr>
            <w:tcW w:type="dxa" w:w="3024"/>
          </w:tcPr>
          <w:p>
            <w:r/>
            <w:r>
              <w:rPr>
                <w:rFonts w:ascii="Times New Roman" w:hAnsi="Times New Roman"/>
                <w:b w:val="0"/>
                <w:sz w:val="20"/>
              </w:rPr>
              <w:t>Irã</w:t>
            </w:r>
          </w:p>
        </w:tc>
        <w:tc>
          <w:tcPr>
            <w:tcW w:type="dxa" w:w="3024"/>
          </w:tcPr>
          <w:p>
            <w:r/>
            <w:r>
              <w:rPr>
                <w:rFonts w:ascii="Times New Roman" w:hAnsi="Times New Roman"/>
                <w:b w:val="0"/>
                <w:sz w:val="20"/>
              </w:rPr>
              <w:t>10</w:t>
            </w:r>
          </w:p>
        </w:tc>
        <w:tc>
          <w:tcPr>
            <w:tcW w:type="dxa" w:w="3024"/>
          </w:tcPr>
          <w:p>
            <w:r/>
            <w:r>
              <w:rPr>
                <w:rFonts w:ascii="Times New Roman" w:hAnsi="Times New Roman"/>
                <w:b w:val="0"/>
                <w:sz w:val="20"/>
              </w:rPr>
              <w:t>2,1</w:t>
            </w:r>
          </w:p>
        </w:tc>
      </w:tr>
      <w:tr>
        <w:tc>
          <w:tcPr>
            <w:tcW w:type="dxa" w:w="3024"/>
          </w:tcPr>
          <w:p>
            <w:r/>
            <w:r>
              <w:rPr>
                <w:rFonts w:ascii="Times New Roman" w:hAnsi="Times New Roman"/>
                <w:b w:val="0"/>
                <w:sz w:val="20"/>
              </w:rPr>
              <w:t>Croácia</w:t>
            </w:r>
          </w:p>
        </w:tc>
        <w:tc>
          <w:tcPr>
            <w:tcW w:type="dxa" w:w="3024"/>
          </w:tcPr>
          <w:p>
            <w:r/>
            <w:r>
              <w:rPr>
                <w:rFonts w:ascii="Times New Roman" w:hAnsi="Times New Roman"/>
                <w:b w:val="0"/>
                <w:sz w:val="20"/>
              </w:rPr>
              <w:t>9</w:t>
            </w:r>
          </w:p>
        </w:tc>
        <w:tc>
          <w:tcPr>
            <w:tcW w:type="dxa" w:w="3024"/>
          </w:tcPr>
          <w:p>
            <w:r/>
            <w:r>
              <w:rPr>
                <w:rFonts w:ascii="Times New Roman" w:hAnsi="Times New Roman"/>
                <w:b w:val="0"/>
                <w:sz w:val="20"/>
              </w:rPr>
              <w:t>1,9</w:t>
            </w:r>
          </w:p>
        </w:tc>
      </w:tr>
      <w:tr>
        <w:tc>
          <w:tcPr>
            <w:tcW w:type="dxa" w:w="3024"/>
          </w:tcPr>
          <w:p>
            <w:r/>
            <w:r>
              <w:rPr>
                <w:rFonts w:ascii="Times New Roman" w:hAnsi="Times New Roman"/>
                <w:b w:val="0"/>
                <w:sz w:val="20"/>
              </w:rPr>
              <w:t>Japão</w:t>
            </w:r>
          </w:p>
        </w:tc>
        <w:tc>
          <w:tcPr>
            <w:tcW w:type="dxa" w:w="3024"/>
          </w:tcPr>
          <w:p>
            <w:r/>
            <w:r>
              <w:rPr>
                <w:rFonts w:ascii="Times New Roman" w:hAnsi="Times New Roman"/>
                <w:b w:val="0"/>
                <w:sz w:val="20"/>
              </w:rPr>
              <w:t>8</w:t>
            </w:r>
          </w:p>
        </w:tc>
        <w:tc>
          <w:tcPr>
            <w:tcW w:type="dxa" w:w="3024"/>
          </w:tcPr>
          <w:p>
            <w:r/>
            <w:r>
              <w:rPr>
                <w:rFonts w:ascii="Times New Roman" w:hAnsi="Times New Roman"/>
                <w:b w:val="0"/>
                <w:sz w:val="20"/>
              </w:rPr>
              <w:t>1,7</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Base: 483 registros elegíveis, dos quais 138 sem país recuperável na afiliação. O país é o da afiliação do primeiro autor, não necessariamente o da amostra.</w:t>
      </w:r>
    </w:p>
    <w:p>
      <w:pPr>
        <w:spacing w:line="240" w:lineRule="auto" w:after="120"/>
        <w:ind w:firstLine="0"/>
        <w:jc w:val="both"/>
      </w:pPr>
      <w:r>
        <w:rPr>
          <w:rFonts w:ascii="Times New Roman" w:hAnsi="Times New Roman"/>
          <w:b w:val="0"/>
          <w:i w:val="0"/>
          <w:sz w:val="24"/>
        </w:rPr>
      </w:r>
    </w:p>
    <w:p>
      <w:pPr>
        <w:pStyle w:val="Heading2"/>
      </w:pPr>
      <w:r>
        <w:t>4.3 Práticas de relato</w:t>
      </w:r>
    </w:p>
    <w:p>
      <w:pPr>
        <w:spacing w:line="360" w:lineRule="auto" w:after="0"/>
        <w:ind w:firstLine="709"/>
        <w:jc w:val="both"/>
      </w:pPr>
      <w:r>
        <w:rPr>
          <w:rFonts w:ascii="Times New Roman" w:hAnsi="Times New Roman"/>
          <w:b w:val="0"/>
          <w:i w:val="0"/>
          <w:sz w:val="24"/>
        </w:rPr>
        <w:t>A Tabela 7 reporta as práticas de relato detectáveis nos resumos e no campo de análise estatística dos registros elegíveis. Os valores são um piso, e não uma estimativa da prevalência: o resumo omite rotineiramente a estatística, de modo que a não detecção indica ausência de relato recuperável nesses campos, não ausência da prática no estudo. A versão desta tabela sobre os textos completos depende de nova mineração e a substitui quando disponível.</w:t>
      </w:r>
    </w:p>
    <w:p>
      <w:pPr>
        <w:spacing w:line="240" w:lineRule="auto" w:after="120"/>
        <w:ind w:firstLine="0"/>
        <w:jc w:val="left"/>
      </w:pPr>
      <w:r>
        <w:rPr>
          <w:rFonts w:ascii="Times New Roman" w:hAnsi="Times New Roman"/>
          <w:b w:val="0"/>
          <w:i w:val="0"/>
          <w:sz w:val="20"/>
        </w:rPr>
        <w:t>Tabela 7 – Práticas de relato detectáveis nos registros elegíveis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Prática de relato</w:t>
            </w:r>
          </w:p>
        </w:tc>
        <w:tc>
          <w:tcPr>
            <w:tcW w:type="dxa" w:w="3024"/>
          </w:tcPr>
          <w:p>
            <w:r/>
            <w:r>
              <w:rPr>
                <w:rFonts w:ascii="Times New Roman" w:hAnsi="Times New Roman"/>
                <w:b/>
                <w:sz w:val="20"/>
              </w:rPr>
              <w:t>n</w:t>
            </w:r>
          </w:p>
        </w:tc>
        <w:tc>
          <w:tcPr>
            <w:tcW w:type="dxa" w:w="3024"/>
          </w:tcPr>
          <w:p>
            <w:r/>
            <w:r>
              <w:rPr>
                <w:rFonts w:ascii="Times New Roman" w:hAnsi="Times New Roman"/>
                <w:b/>
                <w:sz w:val="20"/>
              </w:rPr>
              <w:t>%</w:t>
            </w:r>
          </w:p>
        </w:tc>
      </w:tr>
      <w:tr>
        <w:tc>
          <w:tcPr>
            <w:tcW w:type="dxa" w:w="3024"/>
          </w:tcPr>
          <w:p>
            <w:r/>
            <w:r>
              <w:rPr>
                <w:rFonts w:ascii="Times New Roman" w:hAnsi="Times New Roman"/>
                <w:b w:val="0"/>
                <w:sz w:val="20"/>
              </w:rPr>
              <w:t>Relato de tamanho de efeito</w:t>
            </w:r>
          </w:p>
        </w:tc>
        <w:tc>
          <w:tcPr>
            <w:tcW w:type="dxa" w:w="3024"/>
          </w:tcPr>
          <w:p>
            <w:r/>
            <w:r>
              <w:rPr>
                <w:rFonts w:ascii="Times New Roman" w:hAnsi="Times New Roman"/>
                <w:b w:val="0"/>
                <w:sz w:val="20"/>
              </w:rPr>
              <w:t>135</w:t>
            </w:r>
          </w:p>
        </w:tc>
        <w:tc>
          <w:tcPr>
            <w:tcW w:type="dxa" w:w="3024"/>
          </w:tcPr>
          <w:p>
            <w:r/>
            <w:r>
              <w:rPr>
                <w:rFonts w:ascii="Times New Roman" w:hAnsi="Times New Roman"/>
                <w:b w:val="0"/>
                <w:sz w:val="20"/>
              </w:rPr>
              <w:t>28,0</w:t>
            </w:r>
          </w:p>
        </w:tc>
      </w:tr>
      <w:tr>
        <w:tc>
          <w:tcPr>
            <w:tcW w:type="dxa" w:w="3024"/>
          </w:tcPr>
          <w:p>
            <w:r/>
            <w:r>
              <w:rPr>
                <w:rFonts w:ascii="Times New Roman" w:hAnsi="Times New Roman"/>
                <w:b w:val="0"/>
                <w:sz w:val="20"/>
              </w:rPr>
              <w:t>Correção para comparações múltiplas</w:t>
            </w:r>
          </w:p>
        </w:tc>
        <w:tc>
          <w:tcPr>
            <w:tcW w:type="dxa" w:w="3024"/>
          </w:tcPr>
          <w:p>
            <w:r/>
            <w:r>
              <w:rPr>
                <w:rFonts w:ascii="Times New Roman" w:hAnsi="Times New Roman"/>
                <w:b w:val="0"/>
                <w:sz w:val="20"/>
              </w:rPr>
              <w:t>2</w:t>
            </w:r>
          </w:p>
        </w:tc>
        <w:tc>
          <w:tcPr>
            <w:tcW w:type="dxa" w:w="3024"/>
          </w:tcPr>
          <w:p>
            <w:r/>
            <w:r>
              <w:rPr>
                <w:rFonts w:ascii="Times New Roman" w:hAnsi="Times New Roman"/>
                <w:b w:val="0"/>
                <w:sz w:val="20"/>
              </w:rPr>
              <w:t>0,4</w:t>
            </w:r>
          </w:p>
        </w:tc>
      </w:tr>
      <w:tr>
        <w:tc>
          <w:tcPr>
            <w:tcW w:type="dxa" w:w="3024"/>
          </w:tcPr>
          <w:p>
            <w:r/>
            <w:r>
              <w:rPr>
                <w:rFonts w:ascii="Times New Roman" w:hAnsi="Times New Roman"/>
                <w:b w:val="0"/>
                <w:sz w:val="20"/>
              </w:rPr>
              <w:t>Intervalo de confiança relatado</w:t>
            </w:r>
          </w:p>
        </w:tc>
        <w:tc>
          <w:tcPr>
            <w:tcW w:type="dxa" w:w="3024"/>
          </w:tcPr>
          <w:p>
            <w:r/>
            <w:r>
              <w:rPr>
                <w:rFonts w:ascii="Times New Roman" w:hAnsi="Times New Roman"/>
                <w:b w:val="0"/>
                <w:sz w:val="20"/>
              </w:rPr>
              <w:t>21</w:t>
            </w:r>
          </w:p>
        </w:tc>
        <w:tc>
          <w:tcPr>
            <w:tcW w:type="dxa" w:w="3024"/>
          </w:tcPr>
          <w:p>
            <w:r/>
            <w:r>
              <w:rPr>
                <w:rFonts w:ascii="Times New Roman" w:hAnsi="Times New Roman"/>
                <w:b w:val="0"/>
                <w:sz w:val="20"/>
              </w:rPr>
              <w:t>4,3</w:t>
            </w:r>
          </w:p>
        </w:tc>
      </w:tr>
      <w:tr>
        <w:tc>
          <w:tcPr>
            <w:tcW w:type="dxa" w:w="3024"/>
          </w:tcPr>
          <w:p>
            <w:r/>
            <w:r>
              <w:rPr>
                <w:rFonts w:ascii="Times New Roman" w:hAnsi="Times New Roman"/>
                <w:b w:val="0"/>
                <w:sz w:val="20"/>
              </w:rPr>
              <w:t>Análise de potência ou cálculo amostral</w:t>
            </w:r>
          </w:p>
        </w:tc>
        <w:tc>
          <w:tcPr>
            <w:tcW w:type="dxa" w:w="3024"/>
          </w:tcPr>
          <w:p>
            <w:r/>
            <w:r>
              <w:rPr>
                <w:rFonts w:ascii="Times New Roman" w:hAnsi="Times New Roman"/>
                <w:b w:val="0"/>
                <w:sz w:val="20"/>
              </w:rPr>
              <w:t>0</w:t>
            </w:r>
          </w:p>
        </w:tc>
        <w:tc>
          <w:tcPr>
            <w:tcW w:type="dxa" w:w="3024"/>
          </w:tcPr>
          <w:p>
            <w:r/>
            <w:r>
              <w:rPr>
                <w:rFonts w:ascii="Times New Roman" w:hAnsi="Times New Roman"/>
                <w:b w:val="0"/>
                <w:sz w:val="20"/>
              </w:rPr>
              <w:t>0,0</w:t>
            </w:r>
          </w:p>
        </w:tc>
      </w:tr>
      <w:tr>
        <w:tc>
          <w:tcPr>
            <w:tcW w:type="dxa" w:w="3024"/>
          </w:tcPr>
          <w:p>
            <w:r/>
            <w:r>
              <w:rPr>
                <w:rFonts w:ascii="Times New Roman" w:hAnsi="Times New Roman"/>
                <w:b w:val="0"/>
                <w:sz w:val="20"/>
              </w:rPr>
              <w:t>Confiabilidade do instrumento relatada</w:t>
            </w:r>
          </w:p>
        </w:tc>
        <w:tc>
          <w:tcPr>
            <w:tcW w:type="dxa" w:w="3024"/>
          </w:tcPr>
          <w:p>
            <w:r/>
            <w:r>
              <w:rPr>
                <w:rFonts w:ascii="Times New Roman" w:hAnsi="Times New Roman"/>
                <w:b w:val="0"/>
                <w:sz w:val="20"/>
              </w:rPr>
              <w:t>27</w:t>
            </w:r>
          </w:p>
        </w:tc>
        <w:tc>
          <w:tcPr>
            <w:tcW w:type="dxa" w:w="3024"/>
          </w:tcPr>
          <w:p>
            <w:r/>
            <w:r>
              <w:rPr>
                <w:rFonts w:ascii="Times New Roman" w:hAnsi="Times New Roman"/>
                <w:b w:val="0"/>
                <w:sz w:val="20"/>
              </w:rPr>
              <w:t>5,6</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Base: 483 registros elegíveis, sobre resumo e campo de análise estatística. A ausência de detecção indica que a prática não foi relatada de forma recuperável nesses campos, e não que esteja ausente do estudo; o resumo omite rotineiramente a estatística. A versão desta tabela sobre os textos completos exige nova mineração e substitui esta assim que disponível.</w:t>
      </w:r>
    </w:p>
    <w:p>
      <w:pPr>
        <w:spacing w:line="240" w:lineRule="auto" w:after="120"/>
        <w:ind w:firstLine="0"/>
        <w:jc w:val="both"/>
      </w:pPr>
      <w:r>
        <w:rPr>
          <w:rFonts w:ascii="Times New Roman" w:hAnsi="Times New Roman"/>
          <w:b w:val="0"/>
          <w:i w:val="0"/>
          <w:sz w:val="24"/>
        </w:rPr>
      </w:r>
    </w:p>
    <w:p>
      <w:pPr>
        <w:pStyle w:val="Heading2"/>
      </w:pPr>
      <w:r>
        <w:t>4.4 Integridade dos metadados</w:t>
      </w:r>
    </w:p>
    <w:p>
      <w:pPr>
        <w:spacing w:line="360" w:lineRule="auto" w:after="0"/>
        <w:ind w:firstLine="709"/>
        <w:jc w:val="both"/>
      </w:pPr>
      <w:r>
        <w:rPr>
          <w:rFonts w:ascii="Times New Roman" w:hAnsi="Times New Roman"/>
          <w:b w:val="0"/>
          <w:i w:val="0"/>
          <w:sz w:val="24"/>
        </w:rPr>
        <w:t>A auditoria dos identificadores dos 483 registros elegíveis encontrou 111 com alguma pendência: 51 sem DOI; 39 sem volume nem paginação; 11 DOI marcado como suspeito pela curadoria; 5 ano do DOI divergente do ano do registro; 5 sem volume. A pendência mais grave é a divergência entre o ano do registro e o ano embutido no identificador digital, que indica identificador apontando para outro artigo. Como as referências são geradas desses campos, cada divergência produziria uma referência incorreta, e por isso a geração de referência fica bloqueada para os registros afetados até a conferência contra o Crossref.</w:t>
      </w:r>
    </w:p>
    <w:p>
      <w:pPr>
        <w:spacing w:line="360" w:lineRule="auto" w:after="0"/>
        <w:ind w:firstLine="709"/>
        <w:jc w:val="both"/>
      </w:pPr>
      <w:r>
        <w:rPr>
          <w:rFonts w:ascii="Times New Roman" w:hAnsi="Times New Roman"/>
          <w:b w:val="0"/>
          <w:i w:val="0"/>
          <w:sz w:val="24"/>
        </w:rPr>
        <w:t>A tabela de extração do Apêndice B assinala 308 das 483 linhas com ao menos um alerta de conferência: 299 sem delineamento declarado no resumo, 7 com tamanho amostral coincidente com um ano-calendário e 7 com idade média incompatível com o nível competitivo declarado. Os alertas são deliberados: um campo duvidoso sinalizado é conferível, ao passo que um campo duvidoso apresentado como valor não é.</w:t>
      </w:r>
    </w:p>
    <w:p>
      <w:pPr>
        <w:pStyle w:val="Heading1"/>
      </w:pPr>
      <w:r>
        <w:t>5 DISCUSSÃO</w:t>
      </w:r>
    </w:p>
    <w:p>
      <w:pPr>
        <w:spacing w:line="360" w:lineRule="auto" w:after="0"/>
        <w:ind w:firstLine="709"/>
        <w:jc w:val="both"/>
      </w:pPr>
      <w:r>
        <w:rPr>
          <w:rFonts w:ascii="Times New Roman" w:hAnsi="Times New Roman"/>
          <w:b w:val="0"/>
          <w:i w:val="0"/>
          <w:sz w:val="24"/>
        </w:rPr>
        <w:t>Três elementos decorrem da estrutura da literatura e não da composição do corpus, e por isso permanecem válidos independentemente do que a conferência dos textos completos vier a alterar.</w:t>
      </w:r>
    </w:p>
    <w:p>
      <w:pPr>
        <w:spacing w:line="360" w:lineRule="auto" w:after="0"/>
        <w:ind w:firstLine="709"/>
        <w:jc w:val="both"/>
      </w:pPr>
      <w:r>
        <w:rPr>
          <w:rFonts w:ascii="Times New Roman" w:hAnsi="Times New Roman"/>
          <w:b w:val="0"/>
          <w:i w:val="0"/>
          <w:sz w:val="24"/>
        </w:rPr>
        <w:t>O primeiro refere-se à recuperabilidade. A inexistência de descritor controlado para handebol impõe dependência integral de termos livres no bloco de população. Estudos que não empreguem o termo no título, no resumo ou nas palavras-chave permanecem irrecuperáveis por busca sistemática — limitação estrutural da indexação que qualquer revisão na modalidade compartilha e que raramente é declarada.</w:t>
      </w:r>
    </w:p>
    <w:p>
      <w:pPr>
        <w:spacing w:line="360" w:lineRule="auto" w:after="0"/>
        <w:ind w:firstLine="709"/>
        <w:jc w:val="both"/>
      </w:pPr>
      <w:r>
        <w:rPr>
          <w:rFonts w:ascii="Times New Roman" w:hAnsi="Times New Roman"/>
          <w:b w:val="0"/>
          <w:i w:val="0"/>
          <w:sz w:val="24"/>
        </w:rPr>
        <w:t>O segundo diz respeito à cobertura. A concentração de parcela relevante da produção em periódicos ibero-americanos e do leste europeu indica que revisões apoiadas em fonte única subestimam sistematicamente o campo. O acréscimo obtido pela interrogação de bases regionais confirma essa leitura e recomenda cautela na interpretação de mapeamentos anglófonos.</w:t>
      </w:r>
    </w:p>
    <w:p>
      <w:pPr>
        <w:spacing w:line="360" w:lineRule="auto" w:after="0"/>
        <w:ind w:firstLine="709"/>
        <w:jc w:val="both"/>
      </w:pPr>
      <w:r>
        <w:rPr>
          <w:rFonts w:ascii="Times New Roman" w:hAnsi="Times New Roman"/>
          <w:b w:val="0"/>
          <w:i w:val="0"/>
          <w:sz w:val="24"/>
        </w:rPr>
        <w:t>O terceiro concerne ao que se pode afirmar a partir de resumos. Em 387 dos 483 registros elegíveis o construto é declarado sem que o instrumento seja nomeado, e as práticas de relato estatístico aparecem em minoria dos resumos. Disso não se conclui que os estudos não relatem nem meçam: conclui-se que o resumo não é substrato suficiente para o objetivo específico (b), e que a correspondência entre instrumento e construto declarado — que a revisão se propõe a verificar — só pode ser estabelecida sobre o texto completo. É a razão pela qual a etapa de elegibilidade por texto completo não pode ser abreviada.</w:t>
      </w:r>
    </w:p>
    <w:p>
      <w:pPr>
        <w:spacing w:line="360" w:lineRule="auto" w:after="0"/>
        <w:ind w:firstLine="709"/>
        <w:jc w:val="both"/>
      </w:pPr>
      <w:r>
        <w:rPr>
          <w:rFonts w:ascii="Times New Roman" w:hAnsi="Times New Roman"/>
          <w:b w:val="0"/>
          <w:i w:val="0"/>
          <w:sz w:val="24"/>
        </w:rPr>
        <w:t>[A PREENCHER: Discussão dos achados] Interpretar os estudos após a conferência dos textos completos: construtos com maior concentração de evidência, construtos sub-representados, coerência entre instrumento e construto declarado, e comparação com revisões conduzidas em outras modalidades coletivas. Depende de: conclusão da triagem em duplicata.</w:t>
      </w:r>
    </w:p>
    <w:p>
      <w:pPr>
        <w:pStyle w:val="Heading1"/>
      </w:pPr>
      <w:r>
        <w:t>6 LIMITAÇÕES</w:t>
      </w:r>
    </w:p>
    <w:p>
      <w:pPr>
        <w:pStyle w:val="ListBullet"/>
        <w:spacing w:line="360" w:lineRule="auto" w:after="0"/>
        <w:jc w:val="both"/>
      </w:pPr>
      <w:r>
        <w:rPr>
          <w:rFonts w:ascii="Times New Roman" w:hAnsi="Times New Roman"/>
          <w:sz w:val="24"/>
        </w:rPr>
        <w:t>A ausência de descritor controlado para handebol restringe a recuperação da população a termos livres.</w:t>
      </w:r>
    </w:p>
    <w:p>
      <w:pPr>
        <w:pStyle w:val="ListBullet"/>
        <w:spacing w:line="360" w:lineRule="auto" w:after="0"/>
        <w:jc w:val="both"/>
      </w:pPr>
      <w:r>
        <w:rPr>
          <w:rFonts w:ascii="Times New Roman" w:hAnsi="Times New Roman"/>
          <w:sz w:val="24"/>
        </w:rPr>
        <w:t>Bases que exigem credencial institucional específica, entre elas o SPORTDiscus, não foram interrogadas, de modo que a cobertura permanece incompleta.</w:t>
      </w:r>
    </w:p>
    <w:p>
      <w:pPr>
        <w:pStyle w:val="ListBullet"/>
        <w:spacing w:line="360" w:lineRule="auto" w:after="0"/>
        <w:jc w:val="both"/>
      </w:pPr>
      <w:r>
        <w:rPr>
          <w:rFonts w:ascii="Times New Roman" w:hAnsi="Times New Roman"/>
          <w:sz w:val="24"/>
        </w:rPr>
        <w:t>A literatura cinza foi contemplada apenas parcialmente, por meio de preprints indexados; teses e anais não foram varridos sistematicamente.</w:t>
      </w:r>
    </w:p>
    <w:p>
      <w:pPr>
        <w:pStyle w:val="ListBullet"/>
        <w:spacing w:line="360" w:lineRule="auto" w:after="0"/>
        <w:jc w:val="both"/>
      </w:pPr>
      <w:r>
        <w:rPr>
          <w:rFonts w:ascii="Times New Roman" w:hAnsi="Times New Roman"/>
          <w:sz w:val="24"/>
        </w:rPr>
        <w:t>Em 387 dos 483 registros elegíveis o instrumento psicométrico não é nomeado no resumo, de modo que a Tabela 5 é um piso e não uma estimativa de prevalência de uso.</w:t>
      </w:r>
    </w:p>
    <w:p>
      <w:pPr>
        <w:pStyle w:val="ListBullet"/>
        <w:spacing w:line="360" w:lineRule="auto" w:after="0"/>
        <w:jc w:val="both"/>
      </w:pPr>
      <w:r>
        <w:rPr>
          <w:rFonts w:ascii="Times New Roman" w:hAnsi="Times New Roman"/>
          <w:sz w:val="24"/>
        </w:rPr>
        <w:t>As práticas de relato da Tabela 7 foram aferidas sobre resumos, que omitem rotineiramente a estatística; os percentuais subestimam a prática real e não devem ser lidos como sua medida.</w:t>
      </w:r>
    </w:p>
    <w:p>
      <w:pPr>
        <w:pStyle w:val="ListBullet"/>
        <w:spacing w:line="360" w:lineRule="auto" w:after="0"/>
        <w:jc w:val="both"/>
      </w:pPr>
      <w:r>
        <w:rPr>
          <w:rFonts w:ascii="Times New Roman" w:hAnsi="Times New Roman"/>
          <w:sz w:val="24"/>
        </w:rPr>
        <w:t>A extração automatizada de campos foi calibrada em inglês e português, o que reduz a sensibilidade em textos redigidos em outros idiomas, e os campos assim extraídos trazem os alertas registrados na seção 4.4.</w:t>
      </w:r>
    </w:p>
    <w:p>
      <w:pPr>
        <w:pStyle w:val="Heading1"/>
      </w:pPr>
      <w:r>
        <w:t>7 CONCLUSÃO</w:t>
      </w:r>
    </w:p>
    <w:p>
      <w:pPr>
        <w:spacing w:line="360" w:lineRule="auto" w:after="0"/>
        <w:ind w:firstLine="709"/>
        <w:jc w:val="both"/>
      </w:pPr>
      <w:r>
        <w:rPr>
          <w:rFonts w:ascii="Times New Roman" w:hAnsi="Times New Roman"/>
          <w:b w:val="0"/>
          <w:i w:val="0"/>
          <w:sz w:val="24"/>
        </w:rPr>
        <w:t>A pergunta de revisão indaga quais variáveis psicológicas são investigadas em atletas e praticantes de handebol nos contextos de treinamento e de competição. O mapeamento de 483 registros elegíveis permite três respostas parciais, cuja consolidação depende da conferência dos textos completos.</w:t>
      </w:r>
    </w:p>
    <w:p>
      <w:pPr>
        <w:spacing w:line="360" w:lineRule="auto" w:after="0"/>
        <w:ind w:firstLine="709"/>
        <w:jc w:val="both"/>
      </w:pPr>
      <w:r>
        <w:rPr>
          <w:rFonts w:ascii="Times New Roman" w:hAnsi="Times New Roman"/>
          <w:b w:val="0"/>
          <w:i w:val="0"/>
          <w:sz w:val="24"/>
        </w:rPr>
        <w:t>Primeira: a produção concentra-se em ansiedade e estresse, motivação e cognição, ao passo que emoção, personalidade e coesão de grupo permanecem sub-representadas, apesar de a literatura de esportes coletivos situar parcela relevante da variância psicológica no nível do grupo. Segunda: os instrumentos efetivamente nomeados concentram-se em poucas escalas, o que sugere que a diversidade de construtos declarados não corresponde a uma diversidade equivalente de aferição. Terceira: a fração do corpus em que o construto é declarado sem que o instrumento seja nomeado é grande o bastante para que o mapa produzido a partir de resumos seja tratado como delimitação do campo, e não como sua descrição.</w:t>
      </w:r>
    </w:p>
    <w:p>
      <w:pPr>
        <w:spacing w:line="360" w:lineRule="auto" w:after="0"/>
        <w:ind w:firstLine="709"/>
        <w:jc w:val="both"/>
      </w:pPr>
      <w:r>
        <w:rPr>
          <w:rFonts w:ascii="Times New Roman" w:hAnsi="Times New Roman"/>
          <w:b w:val="0"/>
          <w:i w:val="0"/>
          <w:sz w:val="24"/>
        </w:rPr>
        <w:t>[A PREENCHER: Conclusão definitiva] Redigir após a síntese dos estudos incluídos, respondendo à pergunta de revisão e explicitando as lacunas que orientam investigações futuras. Depende de: conclusão da triagem e da extração.</w:t>
      </w:r>
    </w:p>
    <w:p>
      <w:pPr>
        <w:pStyle w:val="Heading1"/>
      </w:pPr>
      <w:r>
        <w:t>8 DIVISÃO DE TAREFAS</w:t>
      </w:r>
    </w:p>
    <w:p>
      <w:pPr>
        <w:spacing w:line="360" w:lineRule="auto" w:after="0"/>
        <w:ind w:firstLine="709"/>
        <w:jc w:val="both"/>
      </w:pPr>
      <w:r>
        <w:rPr>
          <w:rFonts w:ascii="Times New Roman" w:hAnsi="Times New Roman"/>
          <w:b w:val="0"/>
          <w:i w:val="0"/>
          <w:sz w:val="24"/>
        </w:rPr>
        <w:t>A triagem independente é requisito metodológico: a concordância entre revisores só tem significado se as decisões forem tomadas sem conhecimento mútuo. O quadro abaixo lista as tarefas atribuídas ao bolsista, na ordem de execução.</w:t>
      </w:r>
    </w:p>
    <w:p>
      <w:pPr>
        <w:spacing w:line="240" w:lineRule="auto" w:after="120"/>
        <w:ind w:firstLine="0"/>
        <w:jc w:val="left"/>
      </w:pPr>
      <w:r>
        <w:rPr>
          <w:rFonts w:ascii="Times New Roman" w:hAnsi="Times New Roman"/>
          <w:b w:val="0"/>
          <w:i w:val="0"/>
          <w:sz w:val="20"/>
        </w:rPr>
        <w:t>Quadro 5 – Tarefas do bolsista de iniciação científica</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Etapa</w:t>
            </w:r>
          </w:p>
        </w:tc>
        <w:tc>
          <w:tcPr>
            <w:tcW w:type="dxa" w:w="3024"/>
          </w:tcPr>
          <w:p>
            <w:r/>
            <w:r>
              <w:rPr>
                <w:rFonts w:ascii="Times New Roman" w:hAnsi="Times New Roman"/>
                <w:b/>
                <w:sz w:val="20"/>
              </w:rPr>
              <w:t>Tarefa</w:t>
            </w:r>
          </w:p>
        </w:tc>
        <w:tc>
          <w:tcPr>
            <w:tcW w:type="dxa" w:w="3024"/>
          </w:tcPr>
          <w:p>
            <w:r/>
            <w:r>
              <w:rPr>
                <w:rFonts w:ascii="Times New Roman" w:hAnsi="Times New Roman"/>
                <w:b/>
                <w:sz w:val="20"/>
              </w:rPr>
              <w:t>Produto esperado</w:t>
            </w:r>
          </w:p>
        </w:tc>
      </w:tr>
      <w:tr>
        <w:tc>
          <w:tcPr>
            <w:tcW w:type="dxa" w:w="3024"/>
          </w:tcPr>
          <w:p>
            <w:r/>
            <w:r>
              <w:rPr>
                <w:rFonts w:ascii="Times New Roman" w:hAnsi="Times New Roman"/>
                <w:b w:val="0"/>
                <w:sz w:val="20"/>
              </w:rPr>
              <w:t>1</w:t>
            </w:r>
          </w:p>
        </w:tc>
        <w:tc>
          <w:tcPr>
            <w:tcW w:type="dxa" w:w="3024"/>
          </w:tcPr>
          <w:p>
            <w:r/>
            <w:r>
              <w:rPr>
                <w:rFonts w:ascii="Times New Roman" w:hAnsi="Times New Roman"/>
                <w:b w:val="0"/>
                <w:sz w:val="20"/>
              </w:rPr>
              <w:t>Estudar os critérios de elegibilidade dos Quadros 1 e 2 e discuti-los com o orientador antes de iniciar</w:t>
            </w:r>
          </w:p>
        </w:tc>
        <w:tc>
          <w:tcPr>
            <w:tcW w:type="dxa" w:w="3024"/>
          </w:tcPr>
          <w:p>
            <w:r/>
            <w:r>
              <w:rPr>
                <w:rFonts w:ascii="Times New Roman" w:hAnsi="Times New Roman"/>
                <w:b w:val="0"/>
                <w:sz w:val="20"/>
              </w:rPr>
              <w:t>Entendimento comum dos critérios</w:t>
            </w:r>
          </w:p>
        </w:tc>
      </w:tr>
      <w:tr>
        <w:tc>
          <w:tcPr>
            <w:tcW w:type="dxa" w:w="3024"/>
          </w:tcPr>
          <w:p>
            <w:r/>
            <w:r>
              <w:rPr>
                <w:rFonts w:ascii="Times New Roman" w:hAnsi="Times New Roman"/>
                <w:b w:val="0"/>
                <w:sz w:val="20"/>
              </w:rPr>
              <w:t>2</w:t>
            </w:r>
          </w:p>
        </w:tc>
        <w:tc>
          <w:tcPr>
            <w:tcW w:type="dxa" w:w="3024"/>
          </w:tcPr>
          <w:p>
            <w:r/>
            <w:r>
              <w:rPr>
                <w:rFonts w:ascii="Times New Roman" w:hAnsi="Times New Roman"/>
                <w:b w:val="0"/>
                <w:sz w:val="20"/>
              </w:rPr>
              <w:t>Triar os registros da fila lendo título, resumo e palavras-chave, sem consultar a decisão do orientador</w:t>
            </w:r>
          </w:p>
        </w:tc>
        <w:tc>
          <w:tcPr>
            <w:tcW w:type="dxa" w:w="3024"/>
          </w:tcPr>
          <w:p>
            <w:r/>
            <w:r>
              <w:rPr>
                <w:rFonts w:ascii="Times New Roman" w:hAnsi="Times New Roman"/>
                <w:b w:val="0"/>
                <w:sz w:val="20"/>
              </w:rPr>
              <w:t>Decisão registrada para cada registro</w:t>
            </w:r>
          </w:p>
        </w:tc>
      </w:tr>
      <w:tr>
        <w:tc>
          <w:tcPr>
            <w:tcW w:type="dxa" w:w="3024"/>
          </w:tcPr>
          <w:p>
            <w:r/>
            <w:r>
              <w:rPr>
                <w:rFonts w:ascii="Times New Roman" w:hAnsi="Times New Roman"/>
                <w:b w:val="0"/>
                <w:sz w:val="20"/>
              </w:rPr>
              <w:t>3</w:t>
            </w:r>
          </w:p>
        </w:tc>
        <w:tc>
          <w:tcPr>
            <w:tcW w:type="dxa" w:w="3024"/>
          </w:tcPr>
          <w:p>
            <w:r/>
            <w:r>
              <w:rPr>
                <w:rFonts w:ascii="Times New Roman" w:hAnsi="Times New Roman"/>
                <w:b w:val="0"/>
                <w:sz w:val="20"/>
              </w:rPr>
              <w:t>Registrar o critério que motivou cada exclusão</w:t>
            </w:r>
          </w:p>
        </w:tc>
        <w:tc>
          <w:tcPr>
            <w:tcW w:type="dxa" w:w="3024"/>
          </w:tcPr>
          <w:p>
            <w:r/>
            <w:r>
              <w:rPr>
                <w:rFonts w:ascii="Times New Roman" w:hAnsi="Times New Roman"/>
                <w:b w:val="0"/>
                <w:sz w:val="20"/>
              </w:rPr>
              <w:t>Motivo associado a toda exclusão</w:t>
            </w:r>
          </w:p>
        </w:tc>
      </w:tr>
      <w:tr>
        <w:tc>
          <w:tcPr>
            <w:tcW w:type="dxa" w:w="3024"/>
          </w:tcPr>
          <w:p>
            <w:r/>
            <w:r>
              <w:rPr>
                <w:rFonts w:ascii="Times New Roman" w:hAnsi="Times New Roman"/>
                <w:b w:val="0"/>
                <w:sz w:val="20"/>
              </w:rPr>
              <w:t>4</w:t>
            </w:r>
          </w:p>
        </w:tc>
        <w:tc>
          <w:tcPr>
            <w:tcW w:type="dxa" w:w="3024"/>
          </w:tcPr>
          <w:p>
            <w:r/>
            <w:r>
              <w:rPr>
                <w:rFonts w:ascii="Times New Roman" w:hAnsi="Times New Roman"/>
                <w:b w:val="0"/>
                <w:sz w:val="20"/>
              </w:rPr>
              <w:t>Exportar as decisões ao final e encaminhá-las</w:t>
            </w:r>
          </w:p>
        </w:tc>
        <w:tc>
          <w:tcPr>
            <w:tcW w:type="dxa" w:w="3024"/>
          </w:tcPr>
          <w:p>
            <w:r/>
            <w:r>
              <w:rPr>
                <w:rFonts w:ascii="Times New Roman" w:hAnsi="Times New Roman"/>
                <w:b w:val="0"/>
                <w:sz w:val="20"/>
              </w:rPr>
              <w:t>Arquivo de decisões</w:t>
            </w:r>
          </w:p>
        </w:tc>
      </w:tr>
      <w:tr>
        <w:tc>
          <w:tcPr>
            <w:tcW w:type="dxa" w:w="3024"/>
          </w:tcPr>
          <w:p>
            <w:r/>
            <w:r>
              <w:rPr>
                <w:rFonts w:ascii="Times New Roman" w:hAnsi="Times New Roman"/>
                <w:b w:val="0"/>
                <w:sz w:val="20"/>
              </w:rPr>
              <w:t>5</w:t>
            </w:r>
          </w:p>
        </w:tc>
        <w:tc>
          <w:tcPr>
            <w:tcW w:type="dxa" w:w="3024"/>
          </w:tcPr>
          <w:p>
            <w:r/>
            <w:r>
              <w:rPr>
                <w:rFonts w:ascii="Times New Roman" w:hAnsi="Times New Roman"/>
                <w:b w:val="0"/>
                <w:sz w:val="20"/>
              </w:rPr>
              <w:t>Discutir as divergências identificadas na análise de concordância</w:t>
            </w:r>
          </w:p>
        </w:tc>
        <w:tc>
          <w:tcPr>
            <w:tcW w:type="dxa" w:w="3024"/>
          </w:tcPr>
          <w:p>
            <w:r/>
            <w:r>
              <w:rPr>
                <w:rFonts w:ascii="Times New Roman" w:hAnsi="Times New Roman"/>
                <w:b w:val="0"/>
                <w:sz w:val="20"/>
              </w:rPr>
              <w:t>Consenso ou encaminhamento ao terceiro revisor</w:t>
            </w:r>
          </w:p>
        </w:tc>
      </w:tr>
      <w:tr>
        <w:tc>
          <w:tcPr>
            <w:tcW w:type="dxa" w:w="3024"/>
          </w:tcPr>
          <w:p>
            <w:r/>
            <w:r>
              <w:rPr>
                <w:rFonts w:ascii="Times New Roman" w:hAnsi="Times New Roman"/>
                <w:b w:val="0"/>
                <w:sz w:val="20"/>
              </w:rPr>
              <w:t>6</w:t>
            </w:r>
          </w:p>
        </w:tc>
        <w:tc>
          <w:tcPr>
            <w:tcW w:type="dxa" w:w="3024"/>
          </w:tcPr>
          <w:p>
            <w:r/>
            <w:r>
              <w:rPr>
                <w:rFonts w:ascii="Times New Roman" w:hAnsi="Times New Roman"/>
                <w:b w:val="0"/>
                <w:sz w:val="20"/>
              </w:rPr>
              <w:t>Conferir a extração dos estudos incluídos contra o texto completo</w:t>
            </w:r>
          </w:p>
        </w:tc>
        <w:tc>
          <w:tcPr>
            <w:tcW w:type="dxa" w:w="3024"/>
          </w:tcPr>
          <w:p>
            <w:r/>
            <w:r>
              <w:rPr>
                <w:rFonts w:ascii="Times New Roman" w:hAnsi="Times New Roman"/>
                <w:b w:val="0"/>
                <w:sz w:val="20"/>
              </w:rPr>
              <w:t>Tabela de extração validada</w:t>
            </w:r>
          </w:p>
        </w:tc>
      </w:tr>
    </w:tbl>
    <w:p>
      <w:pPr>
        <w:spacing w:line="240" w:lineRule="auto" w:after="120"/>
        <w:ind w:firstLine="0"/>
        <w:jc w:val="left"/>
      </w:pPr>
      <w:r>
        <w:rPr>
          <w:rFonts w:ascii="Times New Roman" w:hAnsi="Times New Roman"/>
          <w:b w:val="0"/>
          <w:i w:val="0"/>
          <w:sz w:val="20"/>
        </w:rPr>
        <w:t>Fonte: Elaborada pelos autores.</w:t>
      </w:r>
    </w:p>
    <w:p>
      <w:pPr>
        <w:spacing w:line="360" w:lineRule="auto" w:after="0"/>
        <w:ind w:firstLine="709"/>
        <w:jc w:val="both"/>
      </w:pPr>
      <w:r>
        <w:rPr>
          <w:rFonts w:ascii="Times New Roman" w:hAnsi="Times New Roman"/>
          <w:b w:val="0"/>
          <w:i w:val="0"/>
          <w:sz w:val="24"/>
        </w:rPr>
        <w:t>Acrescenta-se uma tarefa que a versão anterior não previa: conferir contra o texto completo as 308 linhas do Apêndice B assinaladas com alerta. São os campos que a extração automatizada não conseguiu estabelecer com segurança, e a conferência deles antecede qualquer tabulação de amostra, idade ou delineamento.</w:t>
      </w:r>
    </w:p>
    <w:p>
      <w:r>
        <w:br w:type="page"/>
      </w:r>
    </w:p>
    <w:p>
      <w:pPr>
        <w:pStyle w:val="Heading1"/>
      </w:pPr>
      <w:r>
        <w:t>REFERÊNCIAS</w:t>
      </w:r>
    </w:p>
    <w:p>
      <w:pPr>
        <w:spacing w:line="240" w:lineRule="auto" w:after="240"/>
        <w:ind w:firstLine="0"/>
        <w:jc w:val="left"/>
      </w:pPr>
      <w:r>
        <w:rPr>
          <w:rFonts w:ascii="Times New Roman" w:hAnsi="Times New Roman"/>
          <w:i w:val="0"/>
          <w:sz w:val="24"/>
        </w:rPr>
        <w:t xml:space="preserve">BANDURA, A. Self-efficacy: Toward a unifying theory of behavioral change. </w:t>
      </w:r>
      <w:r>
        <w:rPr>
          <w:rFonts w:ascii="Times New Roman" w:hAnsi="Times New Roman"/>
          <w:i/>
          <w:sz w:val="24"/>
        </w:rPr>
        <w:t>Psychological Review</w:t>
      </w:r>
      <w:r>
        <w:rPr>
          <w:rFonts w:ascii="Times New Roman" w:hAnsi="Times New Roman"/>
          <w:i w:val="0"/>
          <w:sz w:val="24"/>
        </w:rPr>
        <w:t>, v. 84, n. 2, p. 191-215, 1977. DOI: 10.1037/0033-295x.84.2.191.</w:t>
      </w:r>
    </w:p>
    <w:p>
      <w:pPr>
        <w:spacing w:line="240" w:lineRule="auto" w:after="240"/>
        <w:ind w:firstLine="0"/>
        <w:jc w:val="left"/>
      </w:pPr>
      <w:r>
        <w:rPr>
          <w:rFonts w:ascii="Times New Roman" w:hAnsi="Times New Roman"/>
          <w:i w:val="0"/>
          <w:sz w:val="24"/>
        </w:rPr>
        <w:t xml:space="preserve">BAUER, J.; MUEHLBAUER, T.; VENZKE, J. et al. In-game monitoring of adolescent handball players: a preliminary examination of associations between external load parameters and objective and subjective fatigue markers. </w:t>
      </w:r>
      <w:r>
        <w:rPr>
          <w:rFonts w:ascii="Times New Roman" w:hAnsi="Times New Roman"/>
          <w:i/>
          <w:sz w:val="24"/>
        </w:rPr>
        <w:t>Frontiers in Sports and Active Living</w:t>
      </w:r>
      <w:r>
        <w:rPr>
          <w:rFonts w:ascii="Times New Roman" w:hAnsi="Times New Roman"/>
          <w:i w:val="0"/>
          <w:sz w:val="24"/>
        </w:rPr>
        <w:t>, v. 8, 2026. DOI: 10.3389/fspor.2026.1765225.</w:t>
      </w:r>
    </w:p>
    <w:p>
      <w:pPr>
        <w:spacing w:line="240" w:lineRule="auto" w:after="240"/>
        <w:ind w:firstLine="0"/>
        <w:jc w:val="left"/>
      </w:pPr>
      <w:r>
        <w:rPr>
          <w:rFonts w:ascii="Times New Roman" w:hAnsi="Times New Roman"/>
          <w:i w:val="0"/>
          <w:sz w:val="24"/>
        </w:rPr>
        <w:t xml:space="preserve">BEEDIE, C. J.; TERRY, P. C.; LANE, A. M. The profile of mood states and athletic performance: Two meta-analyses. </w:t>
      </w:r>
      <w:r>
        <w:rPr>
          <w:rFonts w:ascii="Times New Roman" w:hAnsi="Times New Roman"/>
          <w:i/>
          <w:sz w:val="24"/>
        </w:rPr>
        <w:t>Journal of Applied Sport Psychology</w:t>
      </w:r>
      <w:r>
        <w:rPr>
          <w:rFonts w:ascii="Times New Roman" w:hAnsi="Times New Roman"/>
          <w:i w:val="0"/>
          <w:sz w:val="24"/>
        </w:rPr>
        <w:t>, v. 12, n. 1, p. 49-68, 2000. DOI: 10.1080/10413200008404213.</w:t>
      </w:r>
    </w:p>
    <w:p>
      <w:pPr>
        <w:spacing w:line="240" w:lineRule="auto" w:after="240"/>
        <w:ind w:firstLine="0"/>
        <w:jc w:val="left"/>
      </w:pPr>
      <w:r>
        <w:rPr>
          <w:rFonts w:ascii="Times New Roman" w:hAnsi="Times New Roman"/>
          <w:i w:val="0"/>
          <w:sz w:val="24"/>
        </w:rPr>
        <w:t xml:space="preserve">CARRON, A. V.; COLMAN, M. M.; WHEELER, J. et al. Cohesion and Performance in Sport: A Meta Analysis. </w:t>
      </w:r>
      <w:r>
        <w:rPr>
          <w:rFonts w:ascii="Times New Roman" w:hAnsi="Times New Roman"/>
          <w:i/>
          <w:sz w:val="24"/>
        </w:rPr>
        <w:t>Journal of Sport and Exercise Psychology</w:t>
      </w:r>
      <w:r>
        <w:rPr>
          <w:rFonts w:ascii="Times New Roman" w:hAnsi="Times New Roman"/>
          <w:i w:val="0"/>
          <w:sz w:val="24"/>
        </w:rPr>
        <w:t>, v. 24, n. 2, p. 168-188, 2002. DOI: 10.1123/jsep.24.2.168.</w:t>
      </w:r>
    </w:p>
    <w:p>
      <w:pPr>
        <w:spacing w:line="240" w:lineRule="auto" w:after="240"/>
        <w:ind w:firstLine="0"/>
        <w:jc w:val="left"/>
      </w:pPr>
      <w:r>
        <w:rPr>
          <w:rFonts w:ascii="Times New Roman" w:hAnsi="Times New Roman"/>
          <w:i w:val="0"/>
          <w:sz w:val="24"/>
        </w:rPr>
        <w:t xml:space="preserve">CARRON, A.; WIDMEYER, W.; BRAWLEY, L. The Development of an Instrument to Assess Cohesion in Sport Teams: The Group Environment Questionnaire. </w:t>
      </w:r>
      <w:r>
        <w:rPr>
          <w:rFonts w:ascii="Times New Roman" w:hAnsi="Times New Roman"/>
          <w:i/>
          <w:sz w:val="24"/>
        </w:rPr>
        <w:t>Journal of Sport Psychology</w:t>
      </w:r>
      <w:r>
        <w:rPr>
          <w:rFonts w:ascii="Times New Roman" w:hAnsi="Times New Roman"/>
          <w:i w:val="0"/>
          <w:sz w:val="24"/>
        </w:rPr>
        <w:t>, v. 7, n. 3, p. 244-266, 1985. DOI: 10.1123/jsp.7.3.244.</w:t>
      </w:r>
    </w:p>
    <w:p>
      <w:pPr>
        <w:spacing w:line="240" w:lineRule="auto" w:after="240"/>
        <w:ind w:firstLine="0"/>
        <w:jc w:val="left"/>
      </w:pPr>
      <w:r>
        <w:rPr>
          <w:rFonts w:ascii="Times New Roman" w:hAnsi="Times New Roman"/>
          <w:i w:val="0"/>
          <w:sz w:val="24"/>
        </w:rPr>
        <w:t xml:space="preserve">CARVALHO, L. K. F. D.; FREIRE, G. L. M.; COSTA, N. L. G. et al. Sports Experiences as Predictors of Pre-Competitive Anxiety in Dual-Career Athletes. </w:t>
      </w:r>
      <w:r>
        <w:rPr>
          <w:rFonts w:ascii="Times New Roman" w:hAnsi="Times New Roman"/>
          <w:i/>
          <w:sz w:val="24"/>
        </w:rPr>
        <w:t>Cuadernos de Psicología del Deporte</w:t>
      </w:r>
      <w:r>
        <w:rPr>
          <w:rFonts w:ascii="Times New Roman" w:hAnsi="Times New Roman"/>
          <w:i w:val="0"/>
          <w:sz w:val="24"/>
        </w:rPr>
        <w:t>, v. 26, n. 1, p. 1-12, 2026. DOI: 10.6018/cpd.646171.</w:t>
      </w:r>
    </w:p>
    <w:p>
      <w:pPr>
        <w:spacing w:line="240" w:lineRule="auto" w:after="240"/>
        <w:ind w:firstLine="0"/>
        <w:jc w:val="left"/>
      </w:pPr>
      <w:r>
        <w:rPr>
          <w:rFonts w:ascii="Times New Roman" w:hAnsi="Times New Roman"/>
          <w:i w:val="0"/>
          <w:sz w:val="24"/>
        </w:rPr>
        <w:t xml:space="preserve">COX, R. H.; MARTENS, M. P.; RUSSELL, W. D. Measuring Anxiety in Athletics: The Revised Competitive State Anxiety Inventory–2. </w:t>
      </w:r>
      <w:r>
        <w:rPr>
          <w:rFonts w:ascii="Times New Roman" w:hAnsi="Times New Roman"/>
          <w:i/>
          <w:sz w:val="24"/>
        </w:rPr>
        <w:t>Journal of Sport and Exercise Psychology</w:t>
      </w:r>
      <w:r>
        <w:rPr>
          <w:rFonts w:ascii="Times New Roman" w:hAnsi="Times New Roman"/>
          <w:i w:val="0"/>
          <w:sz w:val="24"/>
        </w:rPr>
        <w:t>, v. 25, n. 4, p. 519-533, 2003. DOI: 10.1123/jsep.25.4.519.</w:t>
      </w:r>
    </w:p>
    <w:p>
      <w:pPr>
        <w:spacing w:line="240" w:lineRule="auto" w:after="240"/>
        <w:ind w:firstLine="0"/>
        <w:jc w:val="left"/>
      </w:pPr>
      <w:r>
        <w:rPr>
          <w:rFonts w:ascii="Times New Roman" w:hAnsi="Times New Roman"/>
          <w:i w:val="0"/>
          <w:sz w:val="24"/>
        </w:rPr>
        <w:t xml:space="preserve">CRAFT, L. L.; MAGYAR, T. M.; BECKER, B. J. et al. The Relationship between the Competitive State Anxiety Inventory-2 and Sport Performance: A Meta-Analysis. </w:t>
      </w:r>
      <w:r>
        <w:rPr>
          <w:rFonts w:ascii="Times New Roman" w:hAnsi="Times New Roman"/>
          <w:i/>
          <w:sz w:val="24"/>
        </w:rPr>
        <w:t>Journal of Sport and Exercise Psychology</w:t>
      </w:r>
      <w:r>
        <w:rPr>
          <w:rFonts w:ascii="Times New Roman" w:hAnsi="Times New Roman"/>
          <w:i w:val="0"/>
          <w:sz w:val="24"/>
        </w:rPr>
        <w:t>, v. 25, n. 1, p. 44-65, 2003. DOI: 10.1123/jsep.25.1.44.</w:t>
      </w:r>
    </w:p>
    <w:p>
      <w:pPr>
        <w:spacing w:line="240" w:lineRule="auto" w:after="240"/>
        <w:ind w:firstLine="0"/>
        <w:jc w:val="left"/>
      </w:pPr>
      <w:r>
        <w:rPr>
          <w:rFonts w:ascii="Times New Roman" w:hAnsi="Times New Roman"/>
          <w:i w:val="0"/>
          <w:sz w:val="24"/>
        </w:rPr>
        <w:t xml:space="preserve">DECI, E. L.; RYAN, R. M. The "What" and "Why" of Goal Pursuits: Human Needs and the Self-Determination of Behavior. </w:t>
      </w:r>
      <w:r>
        <w:rPr>
          <w:rFonts w:ascii="Times New Roman" w:hAnsi="Times New Roman"/>
          <w:i/>
          <w:sz w:val="24"/>
        </w:rPr>
        <w:t>Psychological Inquiry</w:t>
      </w:r>
      <w:r>
        <w:rPr>
          <w:rFonts w:ascii="Times New Roman" w:hAnsi="Times New Roman"/>
          <w:i w:val="0"/>
          <w:sz w:val="24"/>
        </w:rPr>
        <w:t>, v. 11, n. 4, p. 227-268, 2000. DOI: 10.1207/s15327965pli1104_01.</w:t>
      </w:r>
    </w:p>
    <w:p>
      <w:pPr>
        <w:spacing w:line="240" w:lineRule="auto" w:after="240"/>
        <w:ind w:firstLine="0"/>
        <w:jc w:val="left"/>
      </w:pPr>
      <w:r>
        <w:rPr>
          <w:rFonts w:ascii="Times New Roman" w:hAnsi="Times New Roman"/>
          <w:i w:val="0"/>
          <w:sz w:val="24"/>
        </w:rPr>
        <w:t xml:space="preserve">DODT, M.; MEMMERT, D. The handball referee’s personality through the lens of players and coaches. </w:t>
      </w:r>
      <w:r>
        <w:rPr>
          <w:rFonts w:ascii="Times New Roman" w:hAnsi="Times New Roman"/>
          <w:i/>
          <w:sz w:val="24"/>
        </w:rPr>
        <w:t>German Journal of Exercise and Sport Research</w:t>
      </w:r>
      <w:r>
        <w:rPr>
          <w:rFonts w:ascii="Times New Roman" w:hAnsi="Times New Roman"/>
          <w:i w:val="0"/>
          <w:sz w:val="24"/>
        </w:rPr>
        <w:t>, v. 54, n. 3, p. 462-475, 2024. DOI: 10.1007/s12662-023-00926-2.</w:t>
      </w:r>
    </w:p>
    <w:p>
      <w:pPr>
        <w:spacing w:line="240" w:lineRule="auto" w:after="240"/>
        <w:ind w:firstLine="0"/>
        <w:jc w:val="left"/>
      </w:pPr>
      <w:r>
        <w:rPr>
          <w:rFonts w:ascii="Times New Roman" w:hAnsi="Times New Roman"/>
          <w:i w:val="0"/>
          <w:sz w:val="24"/>
        </w:rPr>
        <w:t xml:space="preserve">DUDA, J. L.; NICHOLLS, J. G. Dimensions of achievement motivation in schoolwork and sport. </w:t>
      </w:r>
      <w:r>
        <w:rPr>
          <w:rFonts w:ascii="Times New Roman" w:hAnsi="Times New Roman"/>
          <w:i/>
          <w:sz w:val="24"/>
        </w:rPr>
        <w:t>Journal of Educational Psychology</w:t>
      </w:r>
      <w:r>
        <w:rPr>
          <w:rFonts w:ascii="Times New Roman" w:hAnsi="Times New Roman"/>
          <w:i w:val="0"/>
          <w:sz w:val="24"/>
        </w:rPr>
        <w:t>, v. 84, n. 3, p. 290-299, 1992. DOI: 10.1037/0022-0663.84.3.290.</w:t>
      </w:r>
    </w:p>
    <w:p>
      <w:pPr>
        <w:spacing w:line="240" w:lineRule="auto" w:after="240"/>
        <w:ind w:firstLine="0"/>
        <w:jc w:val="left"/>
      </w:pPr>
      <w:r>
        <w:rPr>
          <w:rFonts w:ascii="Times New Roman" w:hAnsi="Times New Roman"/>
          <w:i w:val="0"/>
          <w:sz w:val="24"/>
        </w:rPr>
        <w:t xml:space="preserve">FILÓ, C. I. The achievement–dropout paradox: structural and performance predictors of youth-to-senior transition attrition in elite handball. </w:t>
      </w:r>
      <w:r>
        <w:rPr>
          <w:rFonts w:ascii="Times New Roman" w:hAnsi="Times New Roman"/>
          <w:i/>
          <w:sz w:val="24"/>
        </w:rPr>
        <w:t>Frontiers in Sports and Active Living</w:t>
      </w:r>
      <w:r>
        <w:rPr>
          <w:rFonts w:ascii="Times New Roman" w:hAnsi="Times New Roman"/>
          <w:i w:val="0"/>
          <w:sz w:val="24"/>
        </w:rPr>
        <w:t>, v. 8, 2026. DOI: 10.3389/fspor.2026.1868532.</w:t>
      </w:r>
    </w:p>
    <w:p>
      <w:pPr>
        <w:spacing w:line="240" w:lineRule="auto" w:after="240"/>
        <w:ind w:firstLine="0"/>
        <w:jc w:val="left"/>
      </w:pPr>
      <w:r>
        <w:rPr>
          <w:rFonts w:ascii="Times New Roman" w:hAnsi="Times New Roman"/>
          <w:i w:val="0"/>
          <w:sz w:val="24"/>
        </w:rPr>
        <w:t xml:space="preserve">FULLAGAR, H. H. K.; SKORSKI, S.; DUFFIELD, R. et al. Sleep and Athletic Performance: The Effects of Sleep Loss on Exercise Performance, and Physiological and Cognitive Responses to Exercise. </w:t>
      </w:r>
      <w:r>
        <w:rPr>
          <w:rFonts w:ascii="Times New Roman" w:hAnsi="Times New Roman"/>
          <w:i/>
          <w:sz w:val="24"/>
        </w:rPr>
        <w:t>Sports Medicine</w:t>
      </w:r>
      <w:r>
        <w:rPr>
          <w:rFonts w:ascii="Times New Roman" w:hAnsi="Times New Roman"/>
          <w:i w:val="0"/>
          <w:sz w:val="24"/>
        </w:rPr>
        <w:t>, v. 45, n. 2, p. 161-186, 2015. DOI: 10.1007/s40279-014-0260-0.</w:t>
      </w:r>
    </w:p>
    <w:p>
      <w:pPr>
        <w:spacing w:line="240" w:lineRule="auto" w:after="240"/>
        <w:ind w:firstLine="0"/>
        <w:jc w:val="left"/>
      </w:pPr>
      <w:r>
        <w:rPr>
          <w:rFonts w:ascii="Times New Roman" w:hAnsi="Times New Roman"/>
          <w:i w:val="0"/>
          <w:sz w:val="24"/>
        </w:rPr>
        <w:t xml:space="preserve">GHOBADI, H.; RAJABI, H.; FARZAD, B. et al. Anthropometry of World-Class Elite Handball Players According to the Playing Position: Reports From Men's Handball World Championship 2013. </w:t>
      </w:r>
      <w:r>
        <w:rPr>
          <w:rFonts w:ascii="Times New Roman" w:hAnsi="Times New Roman"/>
          <w:i/>
          <w:sz w:val="24"/>
        </w:rPr>
        <w:t>Journal of Human Kinetics</w:t>
      </w:r>
      <w:r>
        <w:rPr>
          <w:rFonts w:ascii="Times New Roman" w:hAnsi="Times New Roman"/>
          <w:i w:val="0"/>
          <w:sz w:val="24"/>
        </w:rPr>
        <w:t>, v. 39, n. 1, p. 213-220, 2013. DOI: 10.2478/hukin-2013-0084.</w:t>
      </w:r>
    </w:p>
    <w:p>
      <w:pPr>
        <w:spacing w:line="240" w:lineRule="auto" w:after="240"/>
        <w:ind w:firstLine="0"/>
        <w:jc w:val="left"/>
      </w:pPr>
      <w:r>
        <w:rPr>
          <w:rFonts w:ascii="Times New Roman" w:hAnsi="Times New Roman"/>
          <w:i w:val="0"/>
          <w:sz w:val="24"/>
        </w:rPr>
        <w:t xml:space="preserve">GISKE, R.; RODAHL, S. E.; HØIGAARD, R. Shared Mental Task Models in Elite Ice Hockey and Handball Teams: Does It Exist and How Does the Coach Intervene to Make an Impact?. </w:t>
      </w:r>
      <w:r>
        <w:rPr>
          <w:rFonts w:ascii="Times New Roman" w:hAnsi="Times New Roman"/>
          <w:i/>
          <w:sz w:val="24"/>
        </w:rPr>
        <w:t>Journal of Applied Sport Psychology</w:t>
      </w:r>
      <w:r>
        <w:rPr>
          <w:rFonts w:ascii="Times New Roman" w:hAnsi="Times New Roman"/>
          <w:i w:val="0"/>
          <w:sz w:val="24"/>
        </w:rPr>
        <w:t>, v. 27, n. 1, p. 20-34, 2015. DOI: 10.1080/10413200.2014.940431.</w:t>
      </w:r>
    </w:p>
    <w:p>
      <w:pPr>
        <w:spacing w:line="240" w:lineRule="auto" w:after="240"/>
        <w:ind w:firstLine="0"/>
        <w:jc w:val="left"/>
      </w:pPr>
      <w:r>
        <w:rPr>
          <w:rFonts w:ascii="Times New Roman" w:hAnsi="Times New Roman"/>
          <w:i w:val="0"/>
          <w:sz w:val="24"/>
        </w:rPr>
        <w:t xml:space="preserve">GORCZYNSKI, P. F.; COYLE, M.; GIBSON, K. Depressive symptoms in high-performance athletes and non-athletes: a comparative meta-analysis. </w:t>
      </w:r>
      <w:r>
        <w:rPr>
          <w:rFonts w:ascii="Times New Roman" w:hAnsi="Times New Roman"/>
          <w:i/>
          <w:sz w:val="24"/>
        </w:rPr>
        <w:t>British Journal of Sports Medicine</w:t>
      </w:r>
      <w:r>
        <w:rPr>
          <w:rFonts w:ascii="Times New Roman" w:hAnsi="Times New Roman"/>
          <w:i w:val="0"/>
          <w:sz w:val="24"/>
        </w:rPr>
        <w:t>, v. 51, n. 18, p. 1348-1354, 2017. DOI: 10.1136/bjsports-2016-096455.</w:t>
      </w:r>
    </w:p>
    <w:p>
      <w:pPr>
        <w:spacing w:line="240" w:lineRule="auto" w:after="240"/>
        <w:ind w:firstLine="0"/>
        <w:jc w:val="left"/>
      </w:pPr>
      <w:r>
        <w:rPr>
          <w:rFonts w:ascii="Times New Roman" w:hAnsi="Times New Roman"/>
          <w:i w:val="0"/>
          <w:sz w:val="24"/>
        </w:rPr>
        <w:t xml:space="preserve">GUSTAFSSON, H.; KENTTÄ, G.; HASSMÉN, P. Athlete burnout: an integrated model and future research directions. </w:t>
      </w:r>
      <w:r>
        <w:rPr>
          <w:rFonts w:ascii="Times New Roman" w:hAnsi="Times New Roman"/>
          <w:i/>
          <w:sz w:val="24"/>
        </w:rPr>
        <w:t>International Review of Sport and Exercise Psychology</w:t>
      </w:r>
      <w:r>
        <w:rPr>
          <w:rFonts w:ascii="Times New Roman" w:hAnsi="Times New Roman"/>
          <w:i w:val="0"/>
          <w:sz w:val="24"/>
        </w:rPr>
        <w:t>, v. 4, n. 1, p. 3-24, 2011. DOI: 10.1080/1750984x.2010.541927.</w:t>
      </w:r>
    </w:p>
    <w:p>
      <w:pPr>
        <w:spacing w:line="240" w:lineRule="auto" w:after="240"/>
        <w:ind w:firstLine="0"/>
        <w:jc w:val="left"/>
      </w:pPr>
      <w:r>
        <w:rPr>
          <w:rFonts w:ascii="Times New Roman" w:hAnsi="Times New Roman"/>
          <w:i w:val="0"/>
          <w:sz w:val="24"/>
        </w:rPr>
        <w:t xml:space="preserve">GUSTAFSSON, H.; KENTTÄ, G.; HASSMÉN, P. et al. Prevalence of Burnout in Competitive Adolescent Athletes. </w:t>
      </w:r>
      <w:r>
        <w:rPr>
          <w:rFonts w:ascii="Times New Roman" w:hAnsi="Times New Roman"/>
          <w:i/>
          <w:sz w:val="24"/>
        </w:rPr>
        <w:t>The Sport Psychologist</w:t>
      </w:r>
      <w:r>
        <w:rPr>
          <w:rFonts w:ascii="Times New Roman" w:hAnsi="Times New Roman"/>
          <w:i w:val="0"/>
          <w:sz w:val="24"/>
        </w:rPr>
        <w:t>, v. 21, n. 1, p. 21-37, 2007. DOI: 10.1123/tsp.21.1.21.</w:t>
      </w:r>
    </w:p>
    <w:p>
      <w:pPr>
        <w:spacing w:line="240" w:lineRule="auto" w:after="240"/>
        <w:ind w:firstLine="0"/>
        <w:jc w:val="left"/>
      </w:pPr>
      <w:r>
        <w:rPr>
          <w:rFonts w:ascii="Times New Roman" w:hAnsi="Times New Roman"/>
          <w:i w:val="0"/>
          <w:sz w:val="24"/>
        </w:rPr>
        <w:t xml:space="preserve">HANIN, Y. L. Individual Zones of Optimal Functioning (IZOF) Model. </w:t>
      </w:r>
      <w:r>
        <w:rPr>
          <w:rFonts w:ascii="Times New Roman" w:hAnsi="Times New Roman"/>
          <w:i/>
          <w:sz w:val="24"/>
        </w:rPr>
        <w:t>Emotions in Sport</w:t>
      </w:r>
      <w:r>
        <w:rPr>
          <w:rFonts w:ascii="Times New Roman" w:hAnsi="Times New Roman"/>
          <w:i w:val="0"/>
          <w:sz w:val="24"/>
        </w:rPr>
        <w:t>, p. 65-90, 2000. DOI: 10.5040/9781492596233.ch-003.</w:t>
      </w:r>
    </w:p>
    <w:p>
      <w:pPr>
        <w:spacing w:line="240" w:lineRule="auto" w:after="240"/>
        <w:ind w:firstLine="0"/>
        <w:jc w:val="left"/>
      </w:pPr>
      <w:r>
        <w:rPr>
          <w:rFonts w:ascii="Times New Roman" w:hAnsi="Times New Roman"/>
          <w:i w:val="0"/>
          <w:sz w:val="24"/>
        </w:rPr>
        <w:t xml:space="preserve">HATZIGEORGIADIS, A.; ZOURBANOS, N.; GALANIS, E. et al. Self-Talk and Sports Performance. </w:t>
      </w:r>
      <w:r>
        <w:rPr>
          <w:rFonts w:ascii="Times New Roman" w:hAnsi="Times New Roman"/>
          <w:i/>
          <w:sz w:val="24"/>
        </w:rPr>
        <w:t>Perspectives on Psychological Science</w:t>
      </w:r>
      <w:r>
        <w:rPr>
          <w:rFonts w:ascii="Times New Roman" w:hAnsi="Times New Roman"/>
          <w:i w:val="0"/>
          <w:sz w:val="24"/>
        </w:rPr>
        <w:t>, v. 6, n. 4, p. 348-356, 2011. DOI: 10.1177/1745691611413136.</w:t>
      </w:r>
    </w:p>
    <w:p>
      <w:pPr>
        <w:spacing w:line="240" w:lineRule="auto" w:after="240"/>
        <w:ind w:firstLine="0"/>
        <w:jc w:val="left"/>
      </w:pPr>
      <w:r>
        <w:rPr>
          <w:rFonts w:ascii="Times New Roman" w:hAnsi="Times New Roman"/>
          <w:i w:val="0"/>
          <w:sz w:val="24"/>
        </w:rPr>
        <w:t xml:space="preserve">JONES, G.; HANTON, S.; SWAIN, A. Intensity and interpretation of anxiety symptoms in elite and non-elite sports performers. </w:t>
      </w:r>
      <w:r>
        <w:rPr>
          <w:rFonts w:ascii="Times New Roman" w:hAnsi="Times New Roman"/>
          <w:i/>
          <w:sz w:val="24"/>
        </w:rPr>
        <w:t>Personality and Individual Differences</w:t>
      </w:r>
      <w:r>
        <w:rPr>
          <w:rFonts w:ascii="Times New Roman" w:hAnsi="Times New Roman"/>
          <w:i w:val="0"/>
          <w:sz w:val="24"/>
        </w:rPr>
        <w:t>, v. 17, n. 5, p. 657-663, 1994. DOI: 10.1016/0191-8869(94)90138-4.</w:t>
      </w:r>
    </w:p>
    <w:p>
      <w:pPr>
        <w:spacing w:line="240" w:lineRule="auto" w:after="240"/>
        <w:ind w:firstLine="0"/>
        <w:jc w:val="left"/>
      </w:pPr>
      <w:r>
        <w:rPr>
          <w:rFonts w:ascii="Times New Roman" w:hAnsi="Times New Roman"/>
          <w:i w:val="0"/>
          <w:sz w:val="24"/>
        </w:rPr>
        <w:t xml:space="preserve">JONES, M. I.; HARWOOD, C. Psychological Momentum within Competitive Soccer: Players' Perspectives. </w:t>
      </w:r>
      <w:r>
        <w:rPr>
          <w:rFonts w:ascii="Times New Roman" w:hAnsi="Times New Roman"/>
          <w:i/>
          <w:sz w:val="24"/>
        </w:rPr>
        <w:t>Journal of Applied Sport Psychology</w:t>
      </w:r>
      <w:r>
        <w:rPr>
          <w:rFonts w:ascii="Times New Roman" w:hAnsi="Times New Roman"/>
          <w:i w:val="0"/>
          <w:sz w:val="24"/>
        </w:rPr>
        <w:t>, v. 20, n. 1, p. 57-72, 2008. DOI: 10.1080/10413200701784841.</w:t>
      </w:r>
    </w:p>
    <w:p>
      <w:pPr>
        <w:spacing w:line="240" w:lineRule="auto" w:after="240"/>
        <w:ind w:firstLine="0"/>
        <w:jc w:val="left"/>
      </w:pPr>
      <w:r>
        <w:rPr>
          <w:rFonts w:ascii="Times New Roman" w:hAnsi="Times New Roman"/>
          <w:i w:val="0"/>
          <w:sz w:val="24"/>
        </w:rPr>
        <w:t xml:space="preserve">JØRGENSEN, T. M.; ERICKSON, K.; ABRAHAMSEN, F. E. et al. Changes in perceptions of coach- and peer-created motivational climates during the children-to-youth sport transition. </w:t>
      </w:r>
      <w:r>
        <w:rPr>
          <w:rFonts w:ascii="Times New Roman" w:hAnsi="Times New Roman"/>
          <w:i/>
          <w:sz w:val="24"/>
        </w:rPr>
        <w:t>Journal of Applied Sport Psychology</w:t>
      </w:r>
      <w:r>
        <w:rPr>
          <w:rFonts w:ascii="Times New Roman" w:hAnsi="Times New Roman"/>
          <w:i w:val="0"/>
          <w:sz w:val="24"/>
        </w:rPr>
        <w:t>, p. 1-27, 2026. DOI: 10.1080/10413200.2026.2661050.</w:t>
      </w:r>
    </w:p>
    <w:p>
      <w:pPr>
        <w:spacing w:line="240" w:lineRule="auto" w:after="240"/>
        <w:ind w:firstLine="0"/>
        <w:jc w:val="left"/>
      </w:pPr>
      <w:r>
        <w:rPr>
          <w:rFonts w:ascii="Times New Roman" w:hAnsi="Times New Roman"/>
          <w:i w:val="0"/>
          <w:sz w:val="24"/>
        </w:rPr>
        <w:t xml:space="preserve">KARCHER, C.; BUCHHEIT, M. On-Court Demands of Elite Handball, with Special Reference to Playing Positions. </w:t>
      </w:r>
      <w:r>
        <w:rPr>
          <w:rFonts w:ascii="Times New Roman" w:hAnsi="Times New Roman"/>
          <w:i/>
          <w:sz w:val="24"/>
        </w:rPr>
        <w:t>Sports Medicine</w:t>
      </w:r>
      <w:r>
        <w:rPr>
          <w:rFonts w:ascii="Times New Roman" w:hAnsi="Times New Roman"/>
          <w:i w:val="0"/>
          <w:sz w:val="24"/>
        </w:rPr>
        <w:t>, v. 44, n. 6, p. 797-814, 2014. DOI: 10.1007/s40279-014-0164-z.</w:t>
      </w:r>
    </w:p>
    <w:p>
      <w:pPr>
        <w:spacing w:line="240" w:lineRule="auto" w:after="240"/>
        <w:ind w:firstLine="0"/>
        <w:jc w:val="left"/>
      </w:pPr>
      <w:r>
        <w:rPr>
          <w:rFonts w:ascii="Times New Roman" w:hAnsi="Times New Roman"/>
          <w:i w:val="0"/>
          <w:sz w:val="24"/>
        </w:rPr>
        <w:t xml:space="preserve">KARCHER, C.; FONT, R.; MARCOS-JORQUERA, D. et al. Evaluating external load responses to cumulative playing time and position in the European Handball Federation Women’s Euro 2022 through an IoT and Big Data architecture approach. </w:t>
      </w:r>
      <w:r>
        <w:rPr>
          <w:rFonts w:ascii="Times New Roman" w:hAnsi="Times New Roman"/>
          <w:i/>
          <w:sz w:val="24"/>
        </w:rPr>
        <w:t>Biology of Sport</w:t>
      </w:r>
      <w:r>
        <w:rPr>
          <w:rFonts w:ascii="Times New Roman" w:hAnsi="Times New Roman"/>
          <w:i w:val="0"/>
          <w:sz w:val="24"/>
        </w:rPr>
        <w:t>, 2025. DOI: 10.5114/biolsport.2025.144409.</w:t>
      </w:r>
    </w:p>
    <w:p>
      <w:pPr>
        <w:spacing w:line="240" w:lineRule="auto" w:after="240"/>
        <w:ind w:firstLine="0"/>
        <w:jc w:val="left"/>
      </w:pPr>
      <w:r>
        <w:rPr>
          <w:rFonts w:ascii="Times New Roman" w:hAnsi="Times New Roman"/>
          <w:i w:val="0"/>
          <w:sz w:val="24"/>
        </w:rPr>
        <w:t xml:space="preserve">KASSAY, L.; BOROS, S.; JUHÁSZ, I. et al. Parents' role in dropout: one of the important stakeholders in organized youth sports. </w:t>
      </w:r>
      <w:r>
        <w:rPr>
          <w:rFonts w:ascii="Times New Roman" w:hAnsi="Times New Roman"/>
          <w:i/>
          <w:sz w:val="24"/>
        </w:rPr>
        <w:t>Sport, Business and Management: An International Journal</w:t>
      </w:r>
      <w:r>
        <w:rPr>
          <w:rFonts w:ascii="Times New Roman" w:hAnsi="Times New Roman"/>
          <w:i w:val="0"/>
          <w:sz w:val="24"/>
        </w:rPr>
        <w:t>, v. 16, n. 1, p. 143-172, 2026. DOI: 10.1108/sbm-09-2024-0117.</w:t>
      </w:r>
    </w:p>
    <w:p>
      <w:pPr>
        <w:spacing w:line="240" w:lineRule="auto" w:after="240"/>
        <w:ind w:firstLine="0"/>
        <w:jc w:val="left"/>
      </w:pPr>
      <w:r>
        <w:rPr>
          <w:rFonts w:ascii="Times New Roman" w:hAnsi="Times New Roman"/>
          <w:i w:val="0"/>
          <w:sz w:val="24"/>
        </w:rPr>
        <w:t xml:space="preserve">KIM, J.; YOOK, D.; HAN, S. The Impact of Mental Fatigue on Decision-Making Abilities, Visual Search Strategies, and Simple Reaction Time in Handball Players: A Randomized Crossover Study. </w:t>
      </w:r>
      <w:r>
        <w:rPr>
          <w:rFonts w:ascii="Times New Roman" w:hAnsi="Times New Roman"/>
          <w:i/>
          <w:sz w:val="24"/>
        </w:rPr>
        <w:t>Sports</w:t>
      </w:r>
      <w:r>
        <w:rPr>
          <w:rFonts w:ascii="Times New Roman" w:hAnsi="Times New Roman"/>
          <w:i w:val="0"/>
          <w:sz w:val="24"/>
        </w:rPr>
        <w:t>, v. 14, n. 4, p. 128, 2026. DOI: 10.3390/sports14040128.</w:t>
      </w:r>
    </w:p>
    <w:p>
      <w:pPr>
        <w:spacing w:line="240" w:lineRule="auto" w:after="240"/>
        <w:ind w:firstLine="0"/>
        <w:jc w:val="left"/>
      </w:pPr>
      <w:r>
        <w:rPr>
          <w:rFonts w:ascii="Times New Roman" w:hAnsi="Times New Roman"/>
          <w:i w:val="0"/>
          <w:sz w:val="24"/>
        </w:rPr>
        <w:t xml:space="preserve">KOSMIDOU, E.; DRAKOU, A.; PAPADOPOULOU, Z. et al. Relation between Perfectionism and State Anxiety during Practice Exams (Rhythmic Gymnastics and Handball) for Physical Education and Sport Students. </w:t>
      </w:r>
      <w:r>
        <w:rPr>
          <w:rFonts w:ascii="Times New Roman" w:hAnsi="Times New Roman"/>
          <w:i/>
          <w:sz w:val="24"/>
        </w:rPr>
        <w:t>Central European Journal of Sport Sciences and Medicine</w:t>
      </w:r>
      <w:r>
        <w:rPr>
          <w:rFonts w:ascii="Times New Roman" w:hAnsi="Times New Roman"/>
          <w:i w:val="0"/>
          <w:sz w:val="24"/>
        </w:rPr>
        <w:t>, v. 52, p. 27-40, 2025. DOI: 10.18276/cej.2025.4-03.</w:t>
      </w:r>
    </w:p>
    <w:p>
      <w:pPr>
        <w:spacing w:line="240" w:lineRule="auto" w:after="240"/>
        <w:ind w:firstLine="0"/>
        <w:jc w:val="left"/>
      </w:pPr>
      <w:r>
        <w:rPr>
          <w:rFonts w:ascii="Times New Roman" w:hAnsi="Times New Roman"/>
          <w:i w:val="0"/>
          <w:sz w:val="24"/>
        </w:rPr>
        <w:t xml:space="preserve">LABORDE, S.; DOSSEVILLE, F.; ALLEN, M. S. Emotional intelligence in sport and exercise: A systematic review. </w:t>
      </w:r>
      <w:r>
        <w:rPr>
          <w:rFonts w:ascii="Times New Roman" w:hAnsi="Times New Roman"/>
          <w:i/>
          <w:sz w:val="24"/>
        </w:rPr>
        <w:t>Scandinavian Journal of Medicine &amp;amp; Science in Sports</w:t>
      </w:r>
      <w:r>
        <w:rPr>
          <w:rFonts w:ascii="Times New Roman" w:hAnsi="Times New Roman"/>
          <w:i w:val="0"/>
          <w:sz w:val="24"/>
        </w:rPr>
        <w:t>, v. 26, n. 8, p. 862-874, 2016. DOI: 10.1111/sms.12510.</w:t>
      </w:r>
    </w:p>
    <w:p>
      <w:pPr>
        <w:spacing w:line="240" w:lineRule="auto" w:after="240"/>
        <w:ind w:firstLine="0"/>
        <w:jc w:val="left"/>
      </w:pPr>
      <w:r>
        <w:rPr>
          <w:rFonts w:ascii="Times New Roman" w:hAnsi="Times New Roman"/>
          <w:i w:val="0"/>
          <w:sz w:val="24"/>
        </w:rPr>
        <w:t xml:space="preserve">LANE, A. M.; TERRY, P. C. The Nature of Mood: Development of a Conceptual Model with a Focus on Depression. </w:t>
      </w:r>
      <w:r>
        <w:rPr>
          <w:rFonts w:ascii="Times New Roman" w:hAnsi="Times New Roman"/>
          <w:i/>
          <w:sz w:val="24"/>
        </w:rPr>
        <w:t>Journal of Applied Sport Psychology</w:t>
      </w:r>
      <w:r>
        <w:rPr>
          <w:rFonts w:ascii="Times New Roman" w:hAnsi="Times New Roman"/>
          <w:i w:val="0"/>
          <w:sz w:val="24"/>
        </w:rPr>
        <w:t>, v. 12, n. 1, p. 16-33, 2000. DOI: 10.1080/10413200008404211.</w:t>
      </w:r>
    </w:p>
    <w:p>
      <w:pPr>
        <w:spacing w:line="240" w:lineRule="auto" w:after="240"/>
        <w:ind w:firstLine="0"/>
        <w:jc w:val="left"/>
      </w:pPr>
      <w:r>
        <w:rPr>
          <w:rFonts w:ascii="Times New Roman" w:hAnsi="Times New Roman"/>
          <w:i w:val="0"/>
          <w:sz w:val="24"/>
        </w:rPr>
        <w:t xml:space="preserve">LAZARUS, R. S. How Emotions Influence Performance in Competitive Sports. </w:t>
      </w:r>
      <w:r>
        <w:rPr>
          <w:rFonts w:ascii="Times New Roman" w:hAnsi="Times New Roman"/>
          <w:i/>
          <w:sz w:val="24"/>
        </w:rPr>
        <w:t>The Sport Psychologist</w:t>
      </w:r>
      <w:r>
        <w:rPr>
          <w:rFonts w:ascii="Times New Roman" w:hAnsi="Times New Roman"/>
          <w:i w:val="0"/>
          <w:sz w:val="24"/>
        </w:rPr>
        <w:t>, v. 14, n. 3, p. 229-252, 2000. DOI: 10.1123/tsp.14.3.229.</w:t>
      </w:r>
    </w:p>
    <w:p>
      <w:pPr>
        <w:spacing w:line="240" w:lineRule="auto" w:after="240"/>
        <w:ind w:firstLine="0"/>
        <w:jc w:val="left"/>
      </w:pPr>
      <w:r>
        <w:rPr>
          <w:rFonts w:ascii="Times New Roman" w:hAnsi="Times New Roman"/>
          <w:i w:val="0"/>
          <w:sz w:val="24"/>
        </w:rPr>
        <w:t xml:space="preserve">MARTIN, K. A.; MORITZ, S. E.; HALL, C. R. Imagery Use in Sport: A Literature Review and Applied Model. </w:t>
      </w:r>
      <w:r>
        <w:rPr>
          <w:rFonts w:ascii="Times New Roman" w:hAnsi="Times New Roman"/>
          <w:i/>
          <w:sz w:val="24"/>
        </w:rPr>
        <w:t>The Sport Psychologist</w:t>
      </w:r>
      <w:r>
        <w:rPr>
          <w:rFonts w:ascii="Times New Roman" w:hAnsi="Times New Roman"/>
          <w:i w:val="0"/>
          <w:sz w:val="24"/>
        </w:rPr>
        <w:t>, v. 13, n. 3, p. 245-268, 1999. DOI: 10.1123/tsp.13.3.245.</w:t>
      </w:r>
    </w:p>
    <w:p>
      <w:pPr>
        <w:spacing w:line="240" w:lineRule="auto" w:after="240"/>
        <w:ind w:firstLine="0"/>
        <w:jc w:val="left"/>
      </w:pPr>
      <w:r>
        <w:rPr>
          <w:rFonts w:ascii="Times New Roman" w:hAnsi="Times New Roman"/>
          <w:i w:val="0"/>
          <w:sz w:val="24"/>
        </w:rPr>
        <w:t xml:space="preserve">MATSUBARA, A.; TAKAI, H. Conditional process analysis of the impact of coach leadership on the voice of Japanese student-athletes: Examining the moderating role of acceptance of innovation. </w:t>
      </w:r>
      <w:r>
        <w:rPr>
          <w:rFonts w:ascii="Times New Roman" w:hAnsi="Times New Roman"/>
          <w:i/>
          <w:sz w:val="24"/>
        </w:rPr>
        <w:t>Asian Journal of Sport and Exercise Psychology</w:t>
      </w:r>
      <w:r>
        <w:rPr>
          <w:rFonts w:ascii="Times New Roman" w:hAnsi="Times New Roman"/>
          <w:i w:val="0"/>
          <w:sz w:val="24"/>
        </w:rPr>
        <w:t>, v. 5, n. 1, p. 33-42, 2025. DOI: 10.1016/j.ajsep.2025.01.001.</w:t>
      </w:r>
    </w:p>
    <w:p>
      <w:pPr>
        <w:spacing w:line="240" w:lineRule="auto" w:after="240"/>
        <w:ind w:firstLine="0"/>
        <w:jc w:val="left"/>
      </w:pPr>
      <w:r>
        <w:rPr>
          <w:rFonts w:ascii="Times New Roman" w:hAnsi="Times New Roman"/>
          <w:i w:val="0"/>
          <w:sz w:val="24"/>
        </w:rPr>
        <w:t xml:space="preserve">MICHALSIK, L. B. On-Court Physical Demands and Physiological Aspects in Elite Team Handball. </w:t>
      </w:r>
      <w:r>
        <w:rPr>
          <w:rFonts w:ascii="Times New Roman" w:hAnsi="Times New Roman"/>
          <w:i/>
          <w:sz w:val="24"/>
        </w:rPr>
        <w:t>Handball Sports Medicine</w:t>
      </w:r>
      <w:r>
        <w:rPr>
          <w:rFonts w:ascii="Times New Roman" w:hAnsi="Times New Roman"/>
          <w:i w:val="0"/>
          <w:sz w:val="24"/>
        </w:rPr>
        <w:t>, p. 15-33, 2018. DOI: 10.1007/978-3-662-55892-8_2.</w:t>
      </w:r>
    </w:p>
    <w:p>
      <w:pPr>
        <w:spacing w:line="240" w:lineRule="auto" w:after="240"/>
        <w:ind w:firstLine="0"/>
        <w:jc w:val="left"/>
      </w:pPr>
      <w:r>
        <w:rPr>
          <w:rFonts w:ascii="Times New Roman" w:hAnsi="Times New Roman"/>
          <w:i w:val="0"/>
          <w:sz w:val="24"/>
        </w:rPr>
        <w:t xml:space="preserve">MOHAMED, H.; VAEYENS, R.; MATTHYS, S. et al. Anthropometric and performance measures for the development of a talent detection and identification model in youth handball. </w:t>
      </w:r>
      <w:r>
        <w:rPr>
          <w:rFonts w:ascii="Times New Roman" w:hAnsi="Times New Roman"/>
          <w:i/>
          <w:sz w:val="24"/>
        </w:rPr>
        <w:t>Journal of Sports Sciences</w:t>
      </w:r>
      <w:r>
        <w:rPr>
          <w:rFonts w:ascii="Times New Roman" w:hAnsi="Times New Roman"/>
          <w:i w:val="0"/>
          <w:sz w:val="24"/>
        </w:rPr>
        <w:t>, v. 27, n. 3, p. 257-266, 2009. DOI: 10.1080/02640410802482417.</w:t>
      </w:r>
    </w:p>
    <w:p>
      <w:pPr>
        <w:spacing w:line="240" w:lineRule="auto" w:after="240"/>
        <w:ind w:firstLine="0"/>
        <w:jc w:val="left"/>
      </w:pPr>
      <w:r>
        <w:rPr>
          <w:rFonts w:ascii="Times New Roman" w:hAnsi="Times New Roman"/>
          <w:i w:val="0"/>
          <w:sz w:val="24"/>
        </w:rPr>
        <w:t xml:space="preserve">MOLLER, M.; ATTERMANN, J.; MYKLEBUST, G. et al. Injury risk in Danish youth and senior elite handball using a new SMS text messages approach. </w:t>
      </w:r>
      <w:r>
        <w:rPr>
          <w:rFonts w:ascii="Times New Roman" w:hAnsi="Times New Roman"/>
          <w:i/>
          <w:sz w:val="24"/>
        </w:rPr>
        <w:t>British Journal of Sports Medicine</w:t>
      </w:r>
      <w:r>
        <w:rPr>
          <w:rFonts w:ascii="Times New Roman" w:hAnsi="Times New Roman"/>
          <w:i w:val="0"/>
          <w:sz w:val="24"/>
        </w:rPr>
        <w:t>, v. 46, n. 7, p. 531-537, 2012. DOI: 10.1136/bjsports-2012-091022.</w:t>
      </w:r>
    </w:p>
    <w:p>
      <w:pPr>
        <w:spacing w:line="240" w:lineRule="auto" w:after="240"/>
        <w:ind w:firstLine="0"/>
        <w:jc w:val="left"/>
      </w:pPr>
      <w:r>
        <w:rPr>
          <w:rFonts w:ascii="Times New Roman" w:hAnsi="Times New Roman"/>
          <w:i w:val="0"/>
          <w:sz w:val="24"/>
        </w:rPr>
        <w:t xml:space="preserve">MORGAN, P. B.; FLETCHER, D.; SARKAR, M. Defining and characterizing team resilience in elite sport. </w:t>
      </w:r>
      <w:r>
        <w:rPr>
          <w:rFonts w:ascii="Times New Roman" w:hAnsi="Times New Roman"/>
          <w:i/>
          <w:sz w:val="24"/>
        </w:rPr>
        <w:t>Psychology of Sport and Exercise</w:t>
      </w:r>
      <w:r>
        <w:rPr>
          <w:rFonts w:ascii="Times New Roman" w:hAnsi="Times New Roman"/>
          <w:i w:val="0"/>
          <w:sz w:val="24"/>
        </w:rPr>
        <w:t>, v. 14, n. 4, p. 549-559, 2013. DOI: 10.1016/j.psychsport.2013.01.004.</w:t>
      </w:r>
    </w:p>
    <w:p>
      <w:pPr>
        <w:spacing w:line="240" w:lineRule="auto" w:after="240"/>
        <w:ind w:firstLine="0"/>
        <w:jc w:val="left"/>
      </w:pPr>
      <w:r>
        <w:rPr>
          <w:rFonts w:ascii="Times New Roman" w:hAnsi="Times New Roman"/>
          <w:i w:val="0"/>
          <w:sz w:val="24"/>
        </w:rPr>
        <w:t xml:space="preserve">NICHOLLS, J. G. Achievement motivation: Conceptions of ability, subjective experience, task choice, and performance. </w:t>
      </w:r>
      <w:r>
        <w:rPr>
          <w:rFonts w:ascii="Times New Roman" w:hAnsi="Times New Roman"/>
          <w:i/>
          <w:sz w:val="24"/>
        </w:rPr>
        <w:t>Psychological Review</w:t>
      </w:r>
      <w:r>
        <w:rPr>
          <w:rFonts w:ascii="Times New Roman" w:hAnsi="Times New Roman"/>
          <w:i w:val="0"/>
          <w:sz w:val="24"/>
        </w:rPr>
        <w:t>, v. 91, n. 3, p. 328-346, 1984. DOI: 10.1037/0033-295x.91.3.328.</w:t>
      </w:r>
    </w:p>
    <w:p>
      <w:pPr>
        <w:spacing w:line="240" w:lineRule="auto" w:after="240"/>
        <w:ind w:firstLine="0"/>
        <w:jc w:val="left"/>
      </w:pPr>
      <w:r>
        <w:rPr>
          <w:rFonts w:ascii="Times New Roman" w:hAnsi="Times New Roman"/>
          <w:i w:val="0"/>
          <w:sz w:val="24"/>
        </w:rPr>
        <w:t xml:space="preserve">NIXDORF, I.; FRANK, R.; HAUTZINGER, M. et al. Prevalence of Depressive Symptoms and Correlating Variables Among German Elite Athletes. </w:t>
      </w:r>
      <w:r>
        <w:rPr>
          <w:rFonts w:ascii="Times New Roman" w:hAnsi="Times New Roman"/>
          <w:i/>
          <w:sz w:val="24"/>
        </w:rPr>
        <w:t>Journal of Clinical Sport Psychology</w:t>
      </w:r>
      <w:r>
        <w:rPr>
          <w:rFonts w:ascii="Times New Roman" w:hAnsi="Times New Roman"/>
          <w:i w:val="0"/>
          <w:sz w:val="24"/>
        </w:rPr>
        <w:t>, v. 7, n. 4, p. 313-326, 2013. DOI: 10.1123/jcsp.7.4.313.</w:t>
      </w:r>
    </w:p>
    <w:p>
      <w:pPr>
        <w:spacing w:line="240" w:lineRule="auto" w:after="240"/>
        <w:ind w:firstLine="0"/>
        <w:jc w:val="left"/>
      </w:pPr>
      <w:r>
        <w:rPr>
          <w:rFonts w:ascii="Times New Roman" w:hAnsi="Times New Roman"/>
          <w:i w:val="0"/>
          <w:sz w:val="24"/>
        </w:rPr>
        <w:t xml:space="preserve">PRIETO, J.; GÓMEZ, M. Á.; SAMPAIO, J. From a Static to a Dynamic Perspective in Handball Match Analysis: a Systematic Review. </w:t>
      </w:r>
      <w:r>
        <w:rPr>
          <w:rFonts w:ascii="Times New Roman" w:hAnsi="Times New Roman"/>
          <w:i/>
          <w:sz w:val="24"/>
        </w:rPr>
        <w:t>The Open Sports Sciences Journal</w:t>
      </w:r>
      <w:r>
        <w:rPr>
          <w:rFonts w:ascii="Times New Roman" w:hAnsi="Times New Roman"/>
          <w:i w:val="0"/>
          <w:sz w:val="24"/>
        </w:rPr>
        <w:t>, v. 8, n. 1, p. 25-34, 2015. DOI: 10.2174/1875399x01508010025.</w:t>
      </w:r>
    </w:p>
    <w:p>
      <w:pPr>
        <w:spacing w:line="240" w:lineRule="auto" w:after="240"/>
        <w:ind w:firstLine="0"/>
        <w:jc w:val="left"/>
      </w:pPr>
      <w:r>
        <w:rPr>
          <w:rFonts w:ascii="Times New Roman" w:hAnsi="Times New Roman"/>
          <w:i w:val="0"/>
          <w:sz w:val="24"/>
        </w:rPr>
        <w:t xml:space="preserve">RAEDEKE, T. D.; SMITH, A. L. Development and Preliminary Validation of an Athlete Burnout Measure. </w:t>
      </w:r>
      <w:r>
        <w:rPr>
          <w:rFonts w:ascii="Times New Roman" w:hAnsi="Times New Roman"/>
          <w:i/>
          <w:sz w:val="24"/>
        </w:rPr>
        <w:t>Journal of Sport and Exercise Psychology</w:t>
      </w:r>
      <w:r>
        <w:rPr>
          <w:rFonts w:ascii="Times New Roman" w:hAnsi="Times New Roman"/>
          <w:i w:val="0"/>
          <w:sz w:val="24"/>
        </w:rPr>
        <w:t>, v. 23, n. 4, p. 281-306, 2001. DOI: 10.1123/jsep.23.4.281.</w:t>
      </w:r>
    </w:p>
    <w:p>
      <w:pPr>
        <w:spacing w:line="240" w:lineRule="auto" w:after="240"/>
        <w:ind w:firstLine="0"/>
        <w:jc w:val="left"/>
      </w:pPr>
      <w:r>
        <w:rPr>
          <w:rFonts w:ascii="Times New Roman" w:hAnsi="Times New Roman"/>
          <w:i w:val="0"/>
          <w:sz w:val="24"/>
        </w:rPr>
        <w:t xml:space="preserve">RATZ-SULYOK, F. Z.; JANG-KAPUY, C.; BAKONYI, P. et al. Associations Between Endocrine Status and Stress, Mood and Psychosomatic Status in Elite Handball Players. </w:t>
      </w:r>
      <w:r>
        <w:rPr>
          <w:rFonts w:ascii="Times New Roman" w:hAnsi="Times New Roman"/>
          <w:i/>
          <w:sz w:val="24"/>
        </w:rPr>
        <w:t>Sports</w:t>
      </w:r>
      <w:r>
        <w:rPr>
          <w:rFonts w:ascii="Times New Roman" w:hAnsi="Times New Roman"/>
          <w:i w:val="0"/>
          <w:sz w:val="24"/>
        </w:rPr>
        <w:t>, v. 14, n. 7, p. 289, 2026. DOI: 10.3390/sports14070289.</w:t>
      </w:r>
    </w:p>
    <w:p>
      <w:pPr>
        <w:spacing w:line="240" w:lineRule="auto" w:after="240"/>
        <w:ind w:firstLine="0"/>
        <w:jc w:val="left"/>
      </w:pPr>
      <w:r>
        <w:rPr>
          <w:rFonts w:ascii="Times New Roman" w:hAnsi="Times New Roman"/>
          <w:i w:val="0"/>
          <w:sz w:val="24"/>
        </w:rPr>
        <w:t xml:space="preserve">SAHA, S.; BOBY, F. A.; SHARMA, A. et al. Exploring gender-based disparities in emotional distress among university level athletes. </w:t>
      </w:r>
      <w:r>
        <w:rPr>
          <w:rFonts w:ascii="Times New Roman" w:hAnsi="Times New Roman"/>
          <w:i/>
          <w:sz w:val="24"/>
        </w:rPr>
        <w:t>Retos</w:t>
      </w:r>
      <w:r>
        <w:rPr>
          <w:rFonts w:ascii="Times New Roman" w:hAnsi="Times New Roman"/>
          <w:i w:val="0"/>
          <w:sz w:val="24"/>
        </w:rPr>
        <w:t>, v. 64, p. 163-175, 2025. DOI: 10.47197/retos.v64.110294.</w:t>
      </w:r>
    </w:p>
    <w:p>
      <w:pPr>
        <w:spacing w:line="240" w:lineRule="auto" w:after="240"/>
        <w:ind w:firstLine="0"/>
        <w:jc w:val="left"/>
      </w:pPr>
      <w:r>
        <w:rPr>
          <w:rFonts w:ascii="Times New Roman" w:hAnsi="Times New Roman"/>
          <w:i w:val="0"/>
          <w:sz w:val="24"/>
        </w:rPr>
        <w:t xml:space="preserve">SAHLI, F.; BOUZOURAA, M. M.; REBHI, M. et al. Enhancing Skills, Mood, and Performance in Overweight Handball Players: Exploring Individual vs. Collective Verbal Encouragement Strategies. </w:t>
      </w:r>
      <w:r>
        <w:rPr>
          <w:rFonts w:ascii="Times New Roman" w:hAnsi="Times New Roman"/>
          <w:i/>
          <w:sz w:val="24"/>
        </w:rPr>
        <w:t>Children</w:t>
      </w:r>
      <w:r>
        <w:rPr>
          <w:rFonts w:ascii="Times New Roman" w:hAnsi="Times New Roman"/>
          <w:i w:val="0"/>
          <w:sz w:val="24"/>
        </w:rPr>
        <w:t>, v. 11, n. 4, p. 432, 2024. DOI: 10.3390/children11040432.</w:t>
      </w:r>
    </w:p>
    <w:p>
      <w:pPr>
        <w:spacing w:line="240" w:lineRule="auto" w:after="240"/>
        <w:ind w:firstLine="0"/>
        <w:jc w:val="left"/>
      </w:pPr>
      <w:r>
        <w:rPr>
          <w:rFonts w:ascii="Times New Roman" w:hAnsi="Times New Roman"/>
          <w:i w:val="0"/>
          <w:sz w:val="24"/>
        </w:rPr>
        <w:t xml:space="preserve">SCHAAL, K.; TAFFLET, M.; NASSIF, H. et al. Psychological Balance in High Level Athletes: Gender-Based Differences and Sport-Specific Patterns. </w:t>
      </w:r>
      <w:r>
        <w:rPr>
          <w:rFonts w:ascii="Times New Roman" w:hAnsi="Times New Roman"/>
          <w:i/>
          <w:sz w:val="24"/>
        </w:rPr>
        <w:t>PLoS ONE</w:t>
      </w:r>
      <w:r>
        <w:rPr>
          <w:rFonts w:ascii="Times New Roman" w:hAnsi="Times New Roman"/>
          <w:i w:val="0"/>
          <w:sz w:val="24"/>
        </w:rPr>
        <w:t>, v. 6, n. 5, p. e19007, 2011. DOI: 10.1371/journal.pone.0019007.</w:t>
      </w:r>
    </w:p>
    <w:p>
      <w:pPr>
        <w:spacing w:line="240" w:lineRule="auto" w:after="240"/>
        <w:ind w:firstLine="0"/>
        <w:jc w:val="left"/>
      </w:pPr>
      <w:r>
        <w:rPr>
          <w:rFonts w:ascii="Times New Roman" w:hAnsi="Times New Roman"/>
          <w:i w:val="0"/>
          <w:sz w:val="24"/>
        </w:rPr>
        <w:t xml:space="preserve">SKARBALIUS, A. Integrated monitoring of training and sport performance throughout an entire handball season: practical applications in semi-professional female players. </w:t>
      </w:r>
      <w:r>
        <w:rPr>
          <w:rFonts w:ascii="Times New Roman" w:hAnsi="Times New Roman"/>
          <w:i/>
          <w:sz w:val="24"/>
        </w:rPr>
        <w:t>Frontiers in Sports and Active Living</w:t>
      </w:r>
      <w:r>
        <w:rPr>
          <w:rFonts w:ascii="Times New Roman" w:hAnsi="Times New Roman"/>
          <w:i w:val="0"/>
          <w:sz w:val="24"/>
        </w:rPr>
        <w:t>, v. 8, 2026. DOI: 10.3389/fspor.2026.1869707.</w:t>
      </w:r>
    </w:p>
    <w:p>
      <w:pPr>
        <w:spacing w:line="240" w:lineRule="auto" w:after="240"/>
        <w:ind w:firstLine="0"/>
        <w:jc w:val="left"/>
      </w:pPr>
      <w:r>
        <w:rPr>
          <w:rFonts w:ascii="Times New Roman" w:hAnsi="Times New Roman"/>
          <w:i w:val="0"/>
          <w:sz w:val="24"/>
        </w:rPr>
        <w:t xml:space="preserve">SMITH, R. E.; SCHUTZ, R. W.; SMOLL, F. L. et al. Development and Validation of a Multidimensional Measure of Sport-Specific Psychological Skills: The Athletic Coping Skills Inventory-28. </w:t>
      </w:r>
      <w:r>
        <w:rPr>
          <w:rFonts w:ascii="Times New Roman" w:hAnsi="Times New Roman"/>
          <w:i/>
          <w:sz w:val="24"/>
        </w:rPr>
        <w:t>Journal of Sport and Exercise Psychology</w:t>
      </w:r>
      <w:r>
        <w:rPr>
          <w:rFonts w:ascii="Times New Roman" w:hAnsi="Times New Roman"/>
          <w:i w:val="0"/>
          <w:sz w:val="24"/>
        </w:rPr>
        <w:t>, v. 17, n. 4, p. 379-398, 1995. DOI: 10.1123/jsep.17.4.379.</w:t>
      </w:r>
    </w:p>
    <w:p>
      <w:pPr>
        <w:spacing w:line="240" w:lineRule="auto" w:after="240"/>
        <w:ind w:firstLine="0"/>
        <w:jc w:val="left"/>
      </w:pPr>
      <w:r>
        <w:rPr>
          <w:rFonts w:ascii="Times New Roman" w:hAnsi="Times New Roman"/>
          <w:i w:val="0"/>
          <w:sz w:val="24"/>
        </w:rPr>
        <w:t xml:space="preserve">STAIANO, W.; STERNBERG, L. M.; FERRI-CARUANA, A. et al. Overcoming mental fatigue through mindfulness: Improving physical and cognitive performance in elite handball players. </w:t>
      </w:r>
      <w:r>
        <w:rPr>
          <w:rFonts w:ascii="Times New Roman" w:hAnsi="Times New Roman"/>
          <w:i/>
          <w:sz w:val="24"/>
        </w:rPr>
        <w:t>Journal of Science and Medicine in Sport</w:t>
      </w:r>
      <w:r>
        <w:rPr>
          <w:rFonts w:ascii="Times New Roman" w:hAnsi="Times New Roman"/>
          <w:i w:val="0"/>
          <w:sz w:val="24"/>
        </w:rPr>
        <w:t>, v. 29, n. 1, p. 91-99, 2026. DOI: 10.1016/j.jsams.2025.08.004.</w:t>
      </w:r>
    </w:p>
    <w:p>
      <w:pPr>
        <w:spacing w:line="240" w:lineRule="auto" w:after="240"/>
        <w:ind w:firstLine="0"/>
        <w:jc w:val="left"/>
      </w:pPr>
      <w:r>
        <w:rPr>
          <w:rFonts w:ascii="Times New Roman" w:hAnsi="Times New Roman"/>
          <w:i w:val="0"/>
          <w:sz w:val="24"/>
        </w:rPr>
        <w:t xml:space="preserve">TERRY, P.; LANE, A.; FOGARTY, G. Construct validity of the Profile of Mood States — Adolescents for use with adults. </w:t>
      </w:r>
      <w:r>
        <w:rPr>
          <w:rFonts w:ascii="Times New Roman" w:hAnsi="Times New Roman"/>
          <w:i/>
          <w:sz w:val="24"/>
        </w:rPr>
        <w:t>Psychology of Sport and Exercise</w:t>
      </w:r>
      <w:r>
        <w:rPr>
          <w:rFonts w:ascii="Times New Roman" w:hAnsi="Times New Roman"/>
          <w:i w:val="0"/>
          <w:sz w:val="24"/>
        </w:rPr>
        <w:t>, v. 4, n. 2, p. 125-139, 2003. DOI: 10.1016/s1469-0292(01)00035-8.</w:t>
      </w:r>
    </w:p>
    <w:p>
      <w:pPr>
        <w:spacing w:line="240" w:lineRule="auto" w:after="240"/>
        <w:ind w:firstLine="0"/>
        <w:jc w:val="left"/>
      </w:pPr>
      <w:r>
        <w:rPr>
          <w:rFonts w:ascii="Times New Roman" w:hAnsi="Times New Roman"/>
          <w:i w:val="0"/>
          <w:sz w:val="24"/>
        </w:rPr>
        <w:t xml:space="preserve">THOMAS, P. R.; MURPHY, S. M.; HARDY, L. Test of performance strategies: Development and preliminary validation of a comprehensive measure of athletes' psychological skills. </w:t>
      </w:r>
      <w:r>
        <w:rPr>
          <w:rFonts w:ascii="Times New Roman" w:hAnsi="Times New Roman"/>
          <w:i/>
          <w:sz w:val="24"/>
        </w:rPr>
        <w:t>Journal of Sports Sciences</w:t>
      </w:r>
      <w:r>
        <w:rPr>
          <w:rFonts w:ascii="Times New Roman" w:hAnsi="Times New Roman"/>
          <w:i w:val="0"/>
          <w:sz w:val="24"/>
        </w:rPr>
        <w:t>, v. 17, n. 9, p. 697-711, 1999. DOI: 10.1080/026404199365560.</w:t>
      </w:r>
    </w:p>
    <w:p>
      <w:pPr>
        <w:spacing w:line="240" w:lineRule="auto" w:after="240"/>
        <w:ind w:firstLine="0"/>
        <w:jc w:val="left"/>
      </w:pPr>
      <w:r>
        <w:rPr>
          <w:rFonts w:ascii="Times New Roman" w:hAnsi="Times New Roman"/>
          <w:i w:val="0"/>
          <w:sz w:val="24"/>
        </w:rPr>
        <w:t xml:space="preserve">WATSON, D.; CLARK, L. A.; TELLEGEN, A. Development and validation of brief measures of positive and negative affect: The PANAS scales. </w:t>
      </w:r>
      <w:r>
        <w:rPr>
          <w:rFonts w:ascii="Times New Roman" w:hAnsi="Times New Roman"/>
          <w:i/>
          <w:sz w:val="24"/>
        </w:rPr>
        <w:t>Journal of Personality and Social Psychology</w:t>
      </w:r>
      <w:r>
        <w:rPr>
          <w:rFonts w:ascii="Times New Roman" w:hAnsi="Times New Roman"/>
          <w:i w:val="0"/>
          <w:sz w:val="24"/>
        </w:rPr>
        <w:t>, v. 54, n. 6, p. 1063-1070, 1988. DOI: 10.1037/0022-3514.54.6.1063.</w:t>
      </w:r>
    </w:p>
    <w:p>
      <w:pPr>
        <w:spacing w:line="240" w:lineRule="auto" w:after="240"/>
        <w:ind w:firstLine="0"/>
        <w:jc w:val="left"/>
      </w:pPr>
      <w:r>
        <w:rPr>
          <w:rFonts w:ascii="Times New Roman" w:hAnsi="Times New Roman"/>
          <w:i w:val="0"/>
          <w:sz w:val="24"/>
        </w:rPr>
        <w:t xml:space="preserve">ZAIBI, M.; TANNOUBI, A.; BONSAKSEN, T. et al. Psychometric validation and gender invariance of the Arabic Athlete Burnout Questionnaire among Tunisian handball players. </w:t>
      </w:r>
      <w:r>
        <w:rPr>
          <w:rFonts w:ascii="Times New Roman" w:hAnsi="Times New Roman"/>
          <w:i/>
          <w:sz w:val="24"/>
        </w:rPr>
        <w:t>Discover Psychology</w:t>
      </w:r>
      <w:r>
        <w:rPr>
          <w:rFonts w:ascii="Times New Roman" w:hAnsi="Times New Roman"/>
          <w:i w:val="0"/>
          <w:sz w:val="24"/>
        </w:rPr>
        <w:t>, v. 6, n. 1, 2026. DOI: 10.1007/s44202-026-00619-5.</w:t>
      </w:r>
    </w:p>
    <w:p>
      <w:pPr>
        <w:spacing w:line="240" w:lineRule="auto" w:after="240"/>
        <w:ind w:firstLine="0"/>
        <w:jc w:val="left"/>
      </w:pPr>
      <w:r>
        <w:rPr>
          <w:rFonts w:ascii="Times New Roman" w:hAnsi="Times New Roman"/>
          <w:i w:val="0"/>
          <w:sz w:val="24"/>
        </w:rPr>
        <w:t xml:space="preserve">ŚWIDWA, J.; KRÓL-ZIELIŃSKA, M.; KANTANISTA, A. Temperament, personality and decision-making accuracy in handball referees. </w:t>
      </w:r>
      <w:r>
        <w:rPr>
          <w:rFonts w:ascii="Times New Roman" w:hAnsi="Times New Roman"/>
          <w:i/>
          <w:sz w:val="24"/>
        </w:rPr>
        <w:t>PLOS One</w:t>
      </w:r>
      <w:r>
        <w:rPr>
          <w:rFonts w:ascii="Times New Roman" w:hAnsi="Times New Roman"/>
          <w:i w:val="0"/>
          <w:sz w:val="24"/>
        </w:rPr>
        <w:t>, v. 21, n. 7, p. e0353879, 2026. DOI: 10.1371/journal.pone.0353879.</w:t>
      </w:r>
    </w:p>
    <w:p>
      <w:r>
        <w:br w:type="page"/>
      </w:r>
    </w:p>
    <w:p>
      <w:pPr>
        <w:pStyle w:val="Heading1"/>
      </w:pPr>
      <w:r>
        <w:t>APÊNDICE A – ESTRATÉGIAS DE BUSCA NA ÍNTEGRA</w:t>
      </w:r>
    </w:p>
    <w:p>
      <w:pPr>
        <w:spacing w:line="360" w:lineRule="auto" w:after="0"/>
        <w:ind w:firstLine="709"/>
        <w:jc w:val="both"/>
      </w:pPr>
      <w:r>
        <w:rPr>
          <w:rFonts w:ascii="Times New Roman" w:hAnsi="Times New Roman"/>
          <w:b w:val="0"/>
          <w:i w:val="0"/>
          <w:sz w:val="24"/>
        </w:rPr>
        <w:t>As consultas abaixo são geradas dos blocos de termos da Tabela 8 e são exatamente as submetidas a cada base, de modo que apêndice e busca não podem divergir. Reproduza-as com scripts/atualizar_buscas.py --imprimir-consultas.</w:t>
      </w:r>
    </w:p>
    <w:p>
      <w:pPr>
        <w:spacing w:line="240" w:lineRule="auto" w:after="120"/>
        <w:ind w:firstLine="0"/>
        <w:jc w:val="both"/>
      </w:pPr>
      <w:r>
        <w:rPr>
          <w:rFonts w:ascii="Times New Roman" w:hAnsi="Times New Roman"/>
          <w:b/>
          <w:i w:val="0"/>
          <w:sz w:val="20"/>
        </w:rPr>
        <w:t>PUBMED (3163 caracteres)</w:t>
      </w:r>
    </w:p>
    <w:p>
      <w:pPr>
        <w:spacing w:line="240" w:lineRule="auto" w:after="120"/>
        <w:ind w:firstLine="0"/>
        <w:jc w:val="left"/>
      </w:pPr>
      <w:r>
        <w:rPr>
          <w:rFonts w:ascii="Times New Roman" w:hAnsi="Times New Roman"/>
          <w:b w:val="0"/>
          <w:i w:val="0"/>
          <w:sz w:val="20"/>
        </w:rPr>
        <w:t>("handball"[tiab] OR "team handball"[tiab] OR "beach handball"[tiab] OR "handball player"[tiab] OR "handball players"[tiab] OR "handball athlete"[tiab] OR "handball athletes"[tiab] OR "handball practitioner"[tiab] OR "handball practitioners"[tiab] OR "handball training"[tiab] OR "amateur handball"[tiab] OR "recreational handball"[tiab] OR "youth handball"[tiab] OR "female handball"[tiab] OR "male handball"[tiab] OR "handball team"[tiab]) AND (("Affect"[Mesh] OR "Emotions"[Mesh] OR "Anxiety"[Mesh] OR "Stress, Psychological"[Mesh] OR "Motivation"[Mesh] OR "Self Efficacy"[Mesh] OR "Burnout, Psychological"[Mesh] OR "Sleep"[Mesh] OR "Mental Health"[Mesh] OR "Adaptation, Psychological"[Mesh] OR "Depression"[Mesh] OR "Cognition"[Mesh] OR "Resilience, Psychological"[Mesh] OR "Personality"[Mesh] OR "Mood Disorders"[Mesh] OR "Fatigue"[Mesh]) OR ("BRUMS"[tiab] OR "CSAI"[tiab] OR "Hooper index"[tiab] OR "PANAS"[tiab] OR "POMS"[tiab] OR "RESTQ"[tiab] OR "STAI"[tiab] OR "affective state"[tiab] OR "anxiety"[tiab] OR "athlete burnout"[tiab] OR "burnout"[tiab] OR "cognitive anxiety"[tiab] OR "competitive anxiety"[tiab] OR "coping"[tiab] OR "coping strategies"[tiab] OR "depression"[tiab] OR "depressive symptoms"[tiab] OR "dropout"[tiab] OR "ego orientation"[tiab] OR "emotion regulation"[tiab] OR "emotional exhaustion"[tiab] OR "feeling scale"[tiab] OR "goal orientation"[tiab] OR "goal setting"[tiab] OR "imagery"[tiab] OR "insomnia"[tiab] OR "intrinsic motivation"[tiab] OR "mental health"[tiab] OR "mental toughness"[tiab] OR "mental training"[tiab] OR "mindfulness"[tiab] OR "mood"[tiab] OR "mood state"[tiab] OR "motivation"[tiab] OR "negative affect"[tiab] OR "perceived competence"[tiab] OR "perceived recovery"[tiab] OR "perceived stress"[tiab] OR "positive affect"[tiab] OR "psychological distress"[tiab] OR "psychological skills"[tiab] OR "psychological stress"[tiab] OR "quality of life"[tiab] OR "resilience"[tiab] OR "self-confidence"[tiab] OR "self-determination"[tiab] OR "self-efficacy"[tiab] OR "self-talk"[tiab] OR "sleep"[tiab] OR "sleep quality"[tiab] OR "sleepiness"[tiab] OR "somatic anxiety"[tiab] OR "state anxiety"[tiab] OR "stress"[tiab] OR "task orientation"[tiab] OR "total mood disturbance"[tiab] OR "trait anxiety"[tiab] OR "vigor"[tiab] OR "vigour"[tiab] OR "well-being"[tiab] OR "wellbeing"[tiab] OR "wellness"[tiab])) AND (("Athletic Performance"[Mesh] OR "Physical Conditioning, Human"[Mesh] OR "Competitive Behavior"[Mesh] OR "Athletes"[Mesh] OR "Team Sports"[Mesh] OR "Sports"[Mesh]) OR ("championship"[tiab] OR "competition"[tiab] OR "competitive"[tiab] OR "competitive season"[tiab] OR "elite athlete"[tiab] OR "elite athletes"[tiab] OR "game"[tiab] OR "in-season"[tiab] OR "league"[tiab] OR "match"[tiab] OR "match play"[tiab] OR "matches"[tiab] OR "official match"[tiab] OR "practice"[tiab] OR "pre-season"[tiab] OR "preparation period"[tiab] OR "professional athlete"[tiab] OR "professional athletes"[tiab] OR "season"[tiab] OR "sport training"[tiab] OR "team sport"[tiab] OR "tournament"[tiab] OR "training"[tiab] OR "training camp"[tiab] OR "training load"[tiab] OR "training session"[tiab] OR "youth athlete"[tiab]))</w:t>
      </w:r>
    </w:p>
    <w:p>
      <w:pPr>
        <w:spacing w:line="240" w:lineRule="auto" w:after="120"/>
        <w:ind w:firstLine="0"/>
        <w:jc w:val="both"/>
      </w:pPr>
      <w:r>
        <w:rPr>
          <w:rFonts w:ascii="Times New Roman" w:hAnsi="Times New Roman"/>
          <w:b/>
          <w:i w:val="0"/>
          <w:sz w:val="20"/>
        </w:rPr>
        <w:t>SCOPUS (3919 caracteres)</w:t>
      </w:r>
    </w:p>
    <w:p>
      <w:pPr>
        <w:spacing w:line="240" w:lineRule="auto" w:after="120"/>
        <w:ind w:firstLine="0"/>
        <w:jc w:val="left"/>
      </w:pPr>
      <w:r>
        <w:rPr>
          <w:rFonts w:ascii="Times New Roman" w:hAnsi="Times New Roman"/>
          <w:b w:val="0"/>
          <w:i w:val="0"/>
          <w:sz w:val="20"/>
        </w:rPr>
        <w:t>(TITLE-ABS-KEY("handball") OR TITLE-ABS-KEY("team handball") OR TITLE-ABS-KEY("beach handball") OR TITLE-ABS-KEY("handball player") OR TITLE-ABS-KEY("handball players") OR TITLE-ABS-KEY("handball athlete") OR TITLE-ABS-KEY("handball athletes") OR TITLE-ABS-KEY("handball practitioner") OR TITLE-ABS-KEY("handball practitioners") OR TITLE-ABS-KEY("handball training") OR TITLE-ABS-KEY("amateur handball") OR TITLE-ABS-KEY("recreational handball") OR TITLE-ABS-KEY("youth handball") OR TITLE-ABS-KEY("female handball") OR TITLE-ABS-KEY("male handball") OR TITLE-ABS-KEY("handball team")) AND ((KEY("affect") OR KEY("emotion") OR KEY("emotions") OR KEY("anxiety") OR KEY("psychological stress") OR KEY("motivation") OR KEY("self-efficacy") OR KEY("burnout") OR KEY("sleep") OR KEY("mental health") OR KEY("coping") OR KEY("depression") OR KEY("cognition") OR KEY("resilience") OR KEY("personality") OR KEY("mood") OR KEY("fatigue")) OR (TITLE-ABS-KEY("BRUMS") OR TITLE-ABS-KEY("CSAI") OR TITLE-ABS-KEY("Hooper index") OR TITLE-ABS-KEY("PANAS") OR TITLE-ABS-KEY("POMS") OR TITLE-ABS-KEY("RESTQ") OR TITLE-ABS-KEY("STAI") OR TITLE-ABS-KEY("affective state") OR TITLE-ABS-KEY("anxiety") OR TITLE-ABS-KEY("athlete burnout") OR TITLE-ABS-KEY("burnout") OR TITLE-ABS-KEY("cognitive anxiety") OR TITLE-ABS-KEY("competitive anxiety") OR TITLE-ABS-KEY("coping") OR TITLE-ABS-KEY("coping strategies") OR TITLE-ABS-KEY("depression") OR TITLE-ABS-KEY("depressive symptoms") OR TITLE-ABS-KEY("dropout") OR TITLE-ABS-KEY("ego orientation") OR TITLE-ABS-KEY("emotion regulation") OR TITLE-ABS-KEY("emotional exhaustion") OR TITLE-ABS-KEY("feeling scale") OR TITLE-ABS-KEY("goal orientation") OR TITLE-ABS-KEY("goal setting") OR TITLE-ABS-KEY("imagery") OR TITLE-ABS-KEY("insomnia") OR TITLE-ABS-KEY("intrinsic motivation") OR TITLE-ABS-KEY("mental health") OR TITLE-ABS-KEY("mental toughness") OR TITLE-ABS-KEY("mental training") OR TITLE-ABS-KEY("mindfulness") OR TITLE-ABS-KEY("mood") OR TITLE-ABS-KEY("mood state") OR TITLE-ABS-KEY("motivation") OR TITLE-ABS-KEY("negative affect") OR TITLE-ABS-KEY("perceived competence") OR TITLE-ABS-KEY("perceived recovery") OR TITLE-ABS-KEY("perceived stress") OR TITLE-ABS-KEY("positive affect") OR TITLE-ABS-KEY("psychological distress") OR TITLE-ABS-KEY("psychological skills") OR TITLE-ABS-KEY("psychological stress") OR TITLE-ABS-KEY("quality of life") OR TITLE-ABS-KEY("resilience") OR TITLE-ABS-KEY("self-confidence") OR TITLE-ABS-KEY("self-determination") OR TITLE-ABS-KEY("self-efficacy") OR TITLE-ABS-KEY("self-talk") OR TITLE-ABS-KEY("sleep") OR TITLE-ABS-KEY("sleep quality") OR TITLE-ABS-KEY("sleepiness") OR TITLE-ABS-KEY("somatic anxiety") OR TITLE-ABS-KEY("state anxiety") OR TITLE-ABS-KEY("stress") OR TITLE-ABS-KEY("task orientation") OR TITLE-ABS-KEY("total mood disturbance") OR TITLE-ABS-KEY("trait anxiety") OR TITLE-ABS-KEY("vigor") OR TITLE-ABS-KEY("vigour") OR TITLE-ABS-KEY("well-being") OR TITLE-ABS-KEY("wellbeing") OR TITLE-ABS-KEY("wellness"))) AND (TITLE-ABS-KEY("championship") OR TITLE-ABS-KEY("competition") OR TITLE-ABS-KEY("competitive") OR TITLE-ABS-KEY("competitive season") OR TITLE-ABS-KEY("elite athlete") OR TITLE-ABS-KEY("elite athletes") OR TITLE-ABS-KEY("game") OR TITLE-ABS-KEY("in-season") OR TITLE-ABS-KEY("league") OR TITLE-ABS-KEY("match") OR TITLE-ABS-KEY("match play") OR TITLE-ABS-KEY("matches") OR TITLE-ABS-KEY("official match") OR TITLE-ABS-KEY("practice") OR TITLE-ABS-KEY("pre-season") OR TITLE-ABS-KEY("preparation period") OR TITLE-ABS-KEY("professional athlete") OR TITLE-ABS-KEY("professional athletes") OR TITLE-ABS-KEY("season") OR TITLE-ABS-KEY("sport training") OR TITLE-ABS-KEY("team sport") OR TITLE-ABS-KEY("tournament") OR TITLE-ABS-KEY("training") OR TITLE-ABS-KEY("training camp") OR TITLE-ABS-KEY("training load") OR TITLE-ABS-KEY("training session") OR TITLE-ABS-KEY("youth athlete")) AND PUBYEAR &gt; 2005 AND PUBYEAR &lt; 2027</w:t>
      </w:r>
    </w:p>
    <w:p>
      <w:pPr>
        <w:spacing w:line="240" w:lineRule="auto" w:after="120"/>
        <w:ind w:firstLine="0"/>
        <w:jc w:val="both"/>
      </w:pPr>
      <w:r>
        <w:rPr>
          <w:rFonts w:ascii="Times New Roman" w:hAnsi="Times New Roman"/>
          <w:b/>
          <w:i w:val="0"/>
          <w:sz w:val="20"/>
        </w:rPr>
        <w:t>WOS (1895 caracteres)</w:t>
      </w:r>
    </w:p>
    <w:p>
      <w:pPr>
        <w:spacing w:line="240" w:lineRule="auto" w:after="120"/>
        <w:ind w:firstLine="0"/>
        <w:jc w:val="left"/>
      </w:pPr>
      <w:r>
        <w:rPr>
          <w:rFonts w:ascii="Times New Roman" w:hAnsi="Times New Roman"/>
          <w:b w:val="0"/>
          <w:i w:val="0"/>
          <w:sz w:val="20"/>
        </w:rPr>
        <w:t>TS=((handball OR "team handball" OR "beach handball" OR "handball player" OR "handball players" OR "handball athlete" OR "handball athletes" OR "handball practitioner" OR "handball practitioners" OR "handball training" OR "amateur handball" OR "recreational handball" OR "youth handball" OR "female handball" OR "male handball" OR "handball team") AND (BRUMS OR CSAI OR "Hooper index" OR PANAS OR POMS OR RESTQ OR STAI OR "affective state" OR anxiety OR "athlete burnout" OR burnout OR "cognitive anxiety" OR "competitive anxiety" OR coping OR "coping strategies" OR depression OR "depressive symptoms" OR dropout OR "ego orientation" OR "emotion regulation" OR "emotional exhaustion" OR "feeling scale" OR "goal orientation" OR "goal setting" OR imagery OR insomnia OR "intrinsic motivation" OR "mental health" OR "mental toughness" OR "mental training" OR mindfulness OR mood OR "mood state" OR motivation OR "negative affect" OR "perceived competence" OR "perceived recovery" OR "perceived stress" OR "positive affect" OR "psychological distress" OR "psychological skills" OR "psychological stress" OR "quality of life" OR resilience OR "self-confidence" OR "self-determination" OR "self-efficacy" OR "self-talk" OR sleep OR "sleep quality" OR sleepiness OR "somatic anxiety" OR "state anxiety" OR stress OR "task orientation" OR "total mood disturbance" OR "trait anxiety" OR vigor OR vigour OR "well-being" OR wellbeing OR wellness) AND (championship OR competition OR competitive OR "competitive season" OR "elite athlete" OR "elite athletes" OR game OR "in-season" OR league OR match OR "match play" OR matches OR "official match" OR practice OR "pre-season" OR "preparation period" OR "professional athlete" OR "professional athletes" OR season OR "sport training" OR "team sport" OR tournament OR training OR "training camp" OR "training load" OR "training session" OR "youth athlete"))</w:t>
      </w:r>
    </w:p>
    <w:p>
      <w:pPr>
        <w:spacing w:line="240" w:lineRule="auto" w:after="120"/>
        <w:ind w:firstLine="0"/>
        <w:jc w:val="both"/>
      </w:pPr>
      <w:r>
        <w:rPr>
          <w:rFonts w:ascii="Times New Roman" w:hAnsi="Times New Roman"/>
          <w:b/>
          <w:i w:val="0"/>
          <w:sz w:val="20"/>
        </w:rPr>
        <w:t>LILACS (2231 caracteres)</w:t>
      </w:r>
    </w:p>
    <w:p>
      <w:pPr>
        <w:spacing w:line="240" w:lineRule="auto" w:after="120"/>
        <w:ind w:firstLine="0"/>
        <w:jc w:val="left"/>
      </w:pPr>
      <w:r>
        <w:rPr>
          <w:rFonts w:ascii="Times New Roman" w:hAnsi="Times New Roman"/>
          <w:b w:val="0"/>
          <w:i w:val="0"/>
          <w:sz w:val="20"/>
        </w:rPr>
        <w:t>tw:((handball OR "team handball" OR "beach handball" OR "handball player" OR "handball players" OR "handball athlete" OR "handball athletes" OR "handball practitioner" OR "handball practitioners" OR "handball training" OR "amateur handball" OR "recreational handball" OR "youth handball" OR "female handball" OR "male handball" OR "handball team") AND ((mh:("Afeto") OR mh:("Emoções") OR mh:("Ansiedade") OR mh:("Estresse Psicológico") OR mh:("Motivação") OR mh:("Autoeficácia") OR mh:("Esgotamento Psicológico") OR mh:("Sono") OR mh:("Saúde Mental") OR mh:("Adaptação Psicológica") OR mh:("Depressão") OR mh:("Cognição") OR mh:("Resiliência Psicológica") OR mh:("Personalidade") OR mh:("Fadiga")) OR (BRUMS OR CSAI OR "Hooper index" OR PANAS OR POMS OR RESTQ OR STAI OR "affective state" OR anxiety OR "athlete burnout" OR burnout OR "cognitive anxiety" OR "competitive anxiety" OR coping OR "coping strategies" OR depression OR "depressive symptoms" OR dropout OR "ego orientation" OR "emotion regulation" OR "emotional exhaustion" OR "feeling scale" OR "goal orientation" OR "goal setting" OR imagery OR insomnia OR "intrinsic motivation" OR "mental health" OR "mental toughness" OR "mental training" OR mindfulness OR mood OR "mood state" OR motivation OR "negative affect" OR "perceived competence" OR "perceived recovery" OR "perceived stress" OR "positive affect" OR "psychological distress" OR "psychological skills" OR "psychological stress" OR "quality of life" OR resilience OR self-confidence OR self-determination OR self-efficacy OR self-talk OR sleep OR "sleep quality" OR sleepiness OR "somatic anxiety" OR "state anxiety" OR stress OR "task orientation" OR "total mood disturbance" OR "trait anxiety" OR vigor OR vigour OR well-being OR wellbeing OR wellness)) AND (championship OR competition OR competitive OR "competitive season" OR "elite athlete" OR "elite athletes" OR game OR in-season OR league OR match OR "match play" OR matches OR "official match" OR practice OR pre-season OR "preparation period" OR "professional athlete" OR "professional athletes" OR season OR "sport training" OR "team sport" OR tournament OR training OR "training camp" OR "training load" OR "training session" OR "youth athlete"))</w:t>
      </w:r>
    </w:p>
    <w:p>
      <w:pPr>
        <w:spacing w:line="240" w:lineRule="auto" w:after="120"/>
        <w:ind w:firstLine="0"/>
        <w:jc w:val="left"/>
      </w:pPr>
      <w:r>
        <w:rPr>
          <w:rFonts w:ascii="Times New Roman" w:hAnsi="Times New Roman"/>
          <w:b w:val="0"/>
          <w:i w:val="0"/>
          <w:sz w:val="20"/>
        </w:rPr>
        <w:t>Tabela 8 – Vocabulário controlado e termos livres, por bloco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Bloco</w:t>
            </w:r>
          </w:p>
        </w:tc>
        <w:tc>
          <w:tcPr>
            <w:tcW w:type="dxa" w:w="2268"/>
          </w:tcPr>
          <w:p>
            <w:r/>
            <w:r>
              <w:rPr>
                <w:rFonts w:ascii="Times New Roman" w:hAnsi="Times New Roman"/>
                <w:b/>
                <w:sz w:val="20"/>
              </w:rPr>
              <w:t>Vocabulário</w:t>
            </w:r>
          </w:p>
        </w:tc>
        <w:tc>
          <w:tcPr>
            <w:tcW w:type="dxa" w:w="2268"/>
          </w:tcPr>
          <w:p>
            <w:r/>
            <w:r>
              <w:rPr>
                <w:rFonts w:ascii="Times New Roman" w:hAnsi="Times New Roman"/>
                <w:b/>
                <w:sz w:val="20"/>
              </w:rPr>
              <w:t>n</w:t>
            </w:r>
          </w:p>
        </w:tc>
        <w:tc>
          <w:tcPr>
            <w:tcW w:type="dxa" w:w="2268"/>
          </w:tcPr>
          <w:p>
            <w:r/>
            <w:r>
              <w:rPr>
                <w:rFonts w:ascii="Times New Roman" w:hAnsi="Times New Roman"/>
                <w:b/>
                <w:sz w:val="20"/>
              </w:rPr>
              <w:t>Termos</w:t>
            </w:r>
          </w:p>
        </w:tc>
      </w:tr>
      <w:tr>
        <w:tc>
          <w:tcPr>
            <w:tcW w:type="dxa" w:w="2268"/>
          </w:tcPr>
          <w:p>
            <w:r/>
            <w:r>
              <w:rPr>
                <w:rFonts w:ascii="Times New Roman" w:hAnsi="Times New Roman"/>
                <w:b w:val="0"/>
                <w:sz w:val="20"/>
              </w:rPr>
              <w:t>Conceito</w:t>
            </w:r>
          </w:p>
        </w:tc>
        <w:tc>
          <w:tcPr>
            <w:tcW w:type="dxa" w:w="2268"/>
          </w:tcPr>
          <w:p>
            <w:r/>
            <w:r>
              <w:rPr>
                <w:rFonts w:ascii="Times New Roman" w:hAnsi="Times New Roman"/>
                <w:b w:val="0"/>
                <w:sz w:val="20"/>
              </w:rPr>
              <w:t>MeSH</w:t>
            </w:r>
          </w:p>
        </w:tc>
        <w:tc>
          <w:tcPr>
            <w:tcW w:type="dxa" w:w="2268"/>
          </w:tcPr>
          <w:p>
            <w:r/>
            <w:r>
              <w:rPr>
                <w:rFonts w:ascii="Times New Roman" w:hAnsi="Times New Roman"/>
                <w:b w:val="0"/>
                <w:sz w:val="20"/>
              </w:rPr>
              <w:t>16</w:t>
            </w:r>
          </w:p>
        </w:tc>
        <w:tc>
          <w:tcPr>
            <w:tcW w:type="dxa" w:w="2268"/>
          </w:tcPr>
          <w:p>
            <w:r/>
            <w:r>
              <w:rPr>
                <w:rFonts w:ascii="Times New Roman" w:hAnsi="Times New Roman"/>
                <w:b w:val="0"/>
                <w:sz w:val="20"/>
              </w:rPr>
              <w:t>Affect; Emotions; Anxiety; Stress, Psychological; Motivation; Self Efficacy; Burnout, Psychological; Sleep; Mental Health; Adaptation, Psychological; Depression; Cognition; Resilience, Psychological; Personality; Mood Disorders; Fatigue</w:t>
            </w:r>
          </w:p>
        </w:tc>
      </w:tr>
      <w:tr>
        <w:tc>
          <w:tcPr>
            <w:tcW w:type="dxa" w:w="2268"/>
          </w:tcPr>
          <w:p>
            <w:r/>
            <w:r>
              <w:rPr>
                <w:rFonts w:ascii="Times New Roman" w:hAnsi="Times New Roman"/>
                <w:b w:val="0"/>
                <w:sz w:val="20"/>
              </w:rPr>
              <w:t>Conceito</w:t>
            </w:r>
          </w:p>
        </w:tc>
        <w:tc>
          <w:tcPr>
            <w:tcW w:type="dxa" w:w="2268"/>
          </w:tcPr>
          <w:p>
            <w:r/>
            <w:r>
              <w:rPr>
                <w:rFonts w:ascii="Times New Roman" w:hAnsi="Times New Roman"/>
                <w:b w:val="0"/>
                <w:sz w:val="20"/>
              </w:rPr>
              <w:t>DeCS</w:t>
            </w:r>
          </w:p>
        </w:tc>
        <w:tc>
          <w:tcPr>
            <w:tcW w:type="dxa" w:w="2268"/>
          </w:tcPr>
          <w:p>
            <w:r/>
            <w:r>
              <w:rPr>
                <w:rFonts w:ascii="Times New Roman" w:hAnsi="Times New Roman"/>
                <w:b w:val="0"/>
                <w:sz w:val="20"/>
              </w:rPr>
              <w:t>15</w:t>
            </w:r>
          </w:p>
        </w:tc>
        <w:tc>
          <w:tcPr>
            <w:tcW w:type="dxa" w:w="2268"/>
          </w:tcPr>
          <w:p>
            <w:r/>
            <w:r>
              <w:rPr>
                <w:rFonts w:ascii="Times New Roman" w:hAnsi="Times New Roman"/>
                <w:b w:val="0"/>
                <w:sz w:val="20"/>
              </w:rPr>
              <w:t>Afeto; Emoções; Ansiedade; Estresse Psicológico; Motivação; Autoeficácia; Esgotamento Psicológico; Sono; Saúde Mental; Adaptação Psicológica; Depressão; Cognição; Resiliência Psicológica; Personalidade; Fadiga</w:t>
            </w:r>
          </w:p>
        </w:tc>
      </w:tr>
      <w:tr>
        <w:tc>
          <w:tcPr>
            <w:tcW w:type="dxa" w:w="2268"/>
          </w:tcPr>
          <w:p>
            <w:r/>
            <w:r>
              <w:rPr>
                <w:rFonts w:ascii="Times New Roman" w:hAnsi="Times New Roman"/>
                <w:b w:val="0"/>
                <w:sz w:val="20"/>
              </w:rPr>
              <w:t>Conceito</w:t>
            </w:r>
          </w:p>
        </w:tc>
        <w:tc>
          <w:tcPr>
            <w:tcW w:type="dxa" w:w="2268"/>
          </w:tcPr>
          <w:p>
            <w:r/>
            <w:r>
              <w:rPr>
                <w:rFonts w:ascii="Times New Roman" w:hAnsi="Times New Roman"/>
                <w:b w:val="0"/>
                <w:sz w:val="20"/>
              </w:rPr>
              <w:t>Termo livre</w:t>
            </w:r>
          </w:p>
        </w:tc>
        <w:tc>
          <w:tcPr>
            <w:tcW w:type="dxa" w:w="2268"/>
          </w:tcPr>
          <w:p>
            <w:r/>
            <w:r>
              <w:rPr>
                <w:rFonts w:ascii="Times New Roman" w:hAnsi="Times New Roman"/>
                <w:b w:val="0"/>
                <w:sz w:val="20"/>
              </w:rPr>
              <w:t>62</w:t>
            </w:r>
          </w:p>
        </w:tc>
        <w:tc>
          <w:tcPr>
            <w:tcW w:type="dxa" w:w="2268"/>
          </w:tcPr>
          <w:p>
            <w:r/>
            <w:r>
              <w:rPr>
                <w:rFonts w:ascii="Times New Roman" w:hAnsi="Times New Roman"/>
                <w:b w:val="0"/>
                <w:sz w:val="20"/>
              </w:rPr>
              <w:t>BRUMS; CSAI; Hooper index; PANAS; POMS; RESTQ; STAI; affective state; anxiety; athlete burnout; burnout; cognitive anxiety; competitive anxiety; coping; coping strategies; depression; depressive symptoms; dropout; ego orientation; emotion regulation; emotional exhaustion; feeling scale; goal orientation; goal setting; imagery; insomnia; intrinsic motivation; mental health; mental toughness; mental training; mindfulness; mood; mood state; motivation; negative affect; perceived competence; perceived recovery; perceived stress; positive affect; psychological distress; psychological skills; psychological stress; quality of life; resilience; self-confidence; self-determination; self-efficacy; self-talk; sleep; sleep quality; sleepiness; somatic anxiety; state anxiety; stress; task orientation; total mood disturbance; trait anxiety; vigor; vigour; well-being; wellbeing; wellness</w:t>
            </w:r>
          </w:p>
        </w:tc>
      </w:tr>
      <w:tr>
        <w:tc>
          <w:tcPr>
            <w:tcW w:type="dxa" w:w="2268"/>
          </w:tcPr>
          <w:p>
            <w:r/>
            <w:r>
              <w:rPr>
                <w:rFonts w:ascii="Times New Roman" w:hAnsi="Times New Roman"/>
                <w:b w:val="0"/>
                <w:sz w:val="20"/>
              </w:rPr>
              <w:t>Contexto</w:t>
            </w:r>
          </w:p>
        </w:tc>
        <w:tc>
          <w:tcPr>
            <w:tcW w:type="dxa" w:w="2268"/>
          </w:tcPr>
          <w:p>
            <w:r/>
            <w:r>
              <w:rPr>
                <w:rFonts w:ascii="Times New Roman" w:hAnsi="Times New Roman"/>
                <w:b w:val="0"/>
                <w:sz w:val="20"/>
              </w:rPr>
              <w:t>MeSH</w:t>
            </w:r>
          </w:p>
        </w:tc>
        <w:tc>
          <w:tcPr>
            <w:tcW w:type="dxa" w:w="2268"/>
          </w:tcPr>
          <w:p>
            <w:r/>
            <w:r>
              <w:rPr>
                <w:rFonts w:ascii="Times New Roman" w:hAnsi="Times New Roman"/>
                <w:b w:val="0"/>
                <w:sz w:val="20"/>
              </w:rPr>
              <w:t>6</w:t>
            </w:r>
          </w:p>
        </w:tc>
        <w:tc>
          <w:tcPr>
            <w:tcW w:type="dxa" w:w="2268"/>
          </w:tcPr>
          <w:p>
            <w:r/>
            <w:r>
              <w:rPr>
                <w:rFonts w:ascii="Times New Roman" w:hAnsi="Times New Roman"/>
                <w:b w:val="0"/>
                <w:sz w:val="20"/>
              </w:rPr>
              <w:t>Athletic Performance; Physical Conditioning, Human; Competitive Behavior; Athletes; Team Sports; Sports</w:t>
            </w:r>
          </w:p>
        </w:tc>
      </w:tr>
      <w:tr>
        <w:tc>
          <w:tcPr>
            <w:tcW w:type="dxa" w:w="2268"/>
          </w:tcPr>
          <w:p>
            <w:r/>
            <w:r>
              <w:rPr>
                <w:rFonts w:ascii="Times New Roman" w:hAnsi="Times New Roman"/>
                <w:b w:val="0"/>
                <w:sz w:val="20"/>
              </w:rPr>
              <w:t>Contexto</w:t>
            </w:r>
          </w:p>
        </w:tc>
        <w:tc>
          <w:tcPr>
            <w:tcW w:type="dxa" w:w="2268"/>
          </w:tcPr>
          <w:p>
            <w:r/>
            <w:r>
              <w:rPr>
                <w:rFonts w:ascii="Times New Roman" w:hAnsi="Times New Roman"/>
                <w:b w:val="0"/>
                <w:sz w:val="20"/>
              </w:rPr>
              <w:t>Termo livre</w:t>
            </w:r>
          </w:p>
        </w:tc>
        <w:tc>
          <w:tcPr>
            <w:tcW w:type="dxa" w:w="2268"/>
          </w:tcPr>
          <w:p>
            <w:r/>
            <w:r>
              <w:rPr>
                <w:rFonts w:ascii="Times New Roman" w:hAnsi="Times New Roman"/>
                <w:b w:val="0"/>
                <w:sz w:val="20"/>
              </w:rPr>
              <w:t>27</w:t>
            </w:r>
          </w:p>
        </w:tc>
        <w:tc>
          <w:tcPr>
            <w:tcW w:type="dxa" w:w="2268"/>
          </w:tcPr>
          <w:p>
            <w:r/>
            <w:r>
              <w:rPr>
                <w:rFonts w:ascii="Times New Roman" w:hAnsi="Times New Roman"/>
                <w:b w:val="0"/>
                <w:sz w:val="20"/>
              </w:rPr>
              <w:t>championship; competition; competitive; competitive season; elite athlete; elite athletes; game; in-season; league; match; match play; matches; official match; practice; pre-season; preparation period; professional athlete; professional athletes; season; sport training; team sport; tournament; training; training camp; training load; training session; youth athlete</w:t>
            </w:r>
          </w:p>
        </w:tc>
      </w:tr>
      <w:tr>
        <w:tc>
          <w:tcPr>
            <w:tcW w:type="dxa" w:w="2268"/>
          </w:tcPr>
          <w:p>
            <w:r/>
            <w:r>
              <w:rPr>
                <w:rFonts w:ascii="Times New Roman" w:hAnsi="Times New Roman"/>
                <w:b w:val="0"/>
                <w:sz w:val="20"/>
              </w:rPr>
              <w:t>População</w:t>
            </w:r>
          </w:p>
        </w:tc>
        <w:tc>
          <w:tcPr>
            <w:tcW w:type="dxa" w:w="2268"/>
          </w:tcPr>
          <w:p>
            <w:r/>
            <w:r>
              <w:rPr>
                <w:rFonts w:ascii="Times New Roman" w:hAnsi="Times New Roman"/>
                <w:b w:val="0"/>
                <w:sz w:val="20"/>
              </w:rPr>
              <w:t>Termo livre</w:t>
            </w:r>
          </w:p>
        </w:tc>
        <w:tc>
          <w:tcPr>
            <w:tcW w:type="dxa" w:w="2268"/>
          </w:tcPr>
          <w:p>
            <w:r/>
            <w:r>
              <w:rPr>
                <w:rFonts w:ascii="Times New Roman" w:hAnsi="Times New Roman"/>
                <w:b w:val="0"/>
                <w:sz w:val="20"/>
              </w:rPr>
              <w:t>16</w:t>
            </w:r>
          </w:p>
        </w:tc>
        <w:tc>
          <w:tcPr>
            <w:tcW w:type="dxa" w:w="2268"/>
          </w:tcPr>
          <w:p>
            <w:r/>
            <w:r>
              <w:rPr>
                <w:rFonts w:ascii="Times New Roman" w:hAnsi="Times New Roman"/>
                <w:b w:val="0"/>
                <w:sz w:val="20"/>
              </w:rPr>
              <w:t>handball; team handball; beach handball; handball player; handball players; handball athlete; handball athletes; handball practitioner; handball practitioners; handball training; amateur handball; recreational handball; youth handball; female handball; male handball; handball team</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Não há descritor MeSH para handebol, verificação feita no MeSH Browser da National Library of Medicine; o bloco de população é composto exclusivamente por termos livres. Os termos aqui listados são a fonte de que as consultas de cada base são geradas, de modo que apêndice e busca não podem divergir.</w:t>
      </w:r>
    </w:p>
    <w:p>
      <w:pPr>
        <w:spacing w:line="240" w:lineRule="auto" w:after="120"/>
        <w:ind w:firstLine="0"/>
        <w:jc w:val="both"/>
      </w:pPr>
      <w:r>
        <w:rPr>
          <w:rFonts w:ascii="Times New Roman" w:hAnsi="Times New Roman"/>
          <w:b w:val="0"/>
          <w:i w:val="0"/>
          <w:sz w:val="24"/>
        </w:rPr>
      </w:r>
    </w:p>
    <w:p>
      <w:r>
        <w:br w:type="page"/>
      </w:r>
    </w:p>
    <w:p>
      <w:pPr>
        <w:pStyle w:val="Heading1"/>
      </w:pPr>
      <w:r>
        <w:t>APÊNDICE B – TABELA DE EXTRAÇÃO</w:t>
      </w:r>
    </w:p>
    <w:p>
      <w:pPr>
        <w:spacing w:line="360" w:lineRule="auto" w:after="0"/>
        <w:ind w:firstLine="709"/>
        <w:jc w:val="both"/>
      </w:pPr>
      <w:r>
        <w:rPr>
          <w:rFonts w:ascii="Times New Roman" w:hAnsi="Times New Roman"/>
          <w:b w:val="0"/>
          <w:i w:val="0"/>
          <w:sz w:val="24"/>
        </w:rPr>
        <w:t>A tabela abaixo cobre os 483 registros elegíveis e é gerada da biblioteca, não digitada. Campos ausentes aparecem como n.d.; campos internamente incoerentes aparecem como “a conferir”, com o motivo na coluna de alertas. 308 linhas trazem ao menos um alerta, e é essa a lista de conferência do bolsista.</w:t>
      </w:r>
    </w:p>
    <w:p>
      <w:pPr>
        <w:spacing w:line="240" w:lineRule="auto" w:after="120"/>
        <w:ind w:firstLine="0"/>
        <w:jc w:val="left"/>
      </w:pPr>
      <w:r>
        <w:rPr>
          <w:rFonts w:ascii="Times New Roman" w:hAnsi="Times New Roman"/>
          <w:b w:val="0"/>
          <w:i w:val="0"/>
          <w:sz w:val="20"/>
        </w:rPr>
        <w:t>Tabela 9 – Extração dos 483 registros elegíveis</w:t>
      </w:r>
    </w:p>
    <w:tbl>
      <w:tblPr>
        <w:tblStyle w:val="TableGrid"/>
        <w:tblW w:type="auto" w:w="0"/>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r/>
            <w:r>
              <w:rPr>
                <w:rFonts w:ascii="Times New Roman" w:hAnsi="Times New Roman"/>
                <w:b/>
                <w:sz w:val="20"/>
              </w:rPr>
              <w:t>Estudo</w:t>
            </w:r>
          </w:p>
        </w:tc>
        <w:tc>
          <w:tcPr>
            <w:tcW w:type="dxa" w:w="825"/>
          </w:tcPr>
          <w:p>
            <w:r/>
            <w:r>
              <w:rPr>
                <w:rFonts w:ascii="Times New Roman" w:hAnsi="Times New Roman"/>
                <w:b/>
                <w:sz w:val="20"/>
              </w:rPr>
              <w:t>Ano</w:t>
            </w:r>
          </w:p>
        </w:tc>
        <w:tc>
          <w:tcPr>
            <w:tcW w:type="dxa" w:w="825"/>
          </w:tcPr>
          <w:p>
            <w:r/>
            <w:r>
              <w:rPr>
                <w:rFonts w:ascii="Times New Roman" w:hAnsi="Times New Roman"/>
                <w:b/>
                <w:sz w:val="20"/>
              </w:rPr>
              <w:t>País</w:t>
            </w:r>
          </w:p>
        </w:tc>
        <w:tc>
          <w:tcPr>
            <w:tcW w:type="dxa" w:w="825"/>
          </w:tcPr>
          <w:p>
            <w:r/>
            <w:r>
              <w:rPr>
                <w:rFonts w:ascii="Times New Roman" w:hAnsi="Times New Roman"/>
                <w:b/>
                <w:sz w:val="20"/>
              </w:rPr>
              <w:t>n</w:t>
            </w:r>
          </w:p>
        </w:tc>
        <w:tc>
          <w:tcPr>
            <w:tcW w:type="dxa" w:w="825"/>
          </w:tcPr>
          <w:p>
            <w:r/>
            <w:r>
              <w:rPr>
                <w:rFonts w:ascii="Times New Roman" w:hAnsi="Times New Roman"/>
                <w:b/>
                <w:sz w:val="20"/>
              </w:rPr>
              <w:t>Idade</w:t>
            </w:r>
          </w:p>
        </w:tc>
        <w:tc>
          <w:tcPr>
            <w:tcW w:type="dxa" w:w="825"/>
          </w:tcPr>
          <w:p>
            <w:r/>
            <w:r>
              <w:rPr>
                <w:rFonts w:ascii="Times New Roman" w:hAnsi="Times New Roman"/>
                <w:b/>
                <w:sz w:val="20"/>
              </w:rPr>
              <w:t>Sexo</w:t>
            </w:r>
          </w:p>
        </w:tc>
        <w:tc>
          <w:tcPr>
            <w:tcW w:type="dxa" w:w="825"/>
          </w:tcPr>
          <w:p>
            <w:r/>
            <w:r>
              <w:rPr>
                <w:rFonts w:ascii="Times New Roman" w:hAnsi="Times New Roman"/>
                <w:b/>
                <w:sz w:val="20"/>
              </w:rPr>
              <w:t>Nível</w:t>
            </w:r>
          </w:p>
        </w:tc>
        <w:tc>
          <w:tcPr>
            <w:tcW w:type="dxa" w:w="825"/>
          </w:tcPr>
          <w:p>
            <w:r/>
            <w:r>
              <w:rPr>
                <w:rFonts w:ascii="Times New Roman" w:hAnsi="Times New Roman"/>
                <w:b/>
                <w:sz w:val="20"/>
              </w:rPr>
              <w:t>Delineamento</w:t>
            </w:r>
          </w:p>
        </w:tc>
        <w:tc>
          <w:tcPr>
            <w:tcW w:type="dxa" w:w="825"/>
          </w:tcPr>
          <w:p>
            <w:r/>
            <w:r>
              <w:rPr>
                <w:rFonts w:ascii="Times New Roman" w:hAnsi="Times New Roman"/>
                <w:b/>
                <w:sz w:val="20"/>
              </w:rPr>
              <w:t>Instrumento psicométrico</w:t>
            </w:r>
          </w:p>
        </w:tc>
        <w:tc>
          <w:tcPr>
            <w:tcW w:type="dxa" w:w="825"/>
          </w:tcPr>
          <w:p>
            <w:r/>
            <w:r>
              <w:rPr>
                <w:rFonts w:ascii="Times New Roman" w:hAnsi="Times New Roman"/>
                <w:b/>
                <w:sz w:val="20"/>
              </w:rPr>
              <w:t>Construto</w:t>
            </w:r>
          </w:p>
        </w:tc>
        <w:tc>
          <w:tcPr>
            <w:tcW w:type="dxa" w:w="825"/>
          </w:tcPr>
          <w:p>
            <w:r/>
            <w:r>
              <w:rPr>
                <w:rFonts w:ascii="Times New Roman" w:hAnsi="Times New Roman"/>
                <w:b/>
                <w:sz w:val="20"/>
              </w:rPr>
              <w:t>Alertas</w:t>
            </w:r>
          </w:p>
        </w:tc>
      </w:tr>
      <w:tr>
        <w:tc>
          <w:tcPr>
            <w:tcW w:type="dxa" w:w="825"/>
          </w:tcPr>
          <w:p>
            <w:r/>
            <w:r>
              <w:rPr>
                <w:rFonts w:ascii="Times New Roman" w:hAnsi="Times New Roman"/>
                <w:b w:val="0"/>
                <w:sz w:val="20"/>
              </w:rPr>
              <w:t>A Comparison of Match Loads and Time Course of Recovery in Youth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42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nível 'jovem/base' incompatível com idade média de 42 anos</w:t>
            </w:r>
          </w:p>
        </w:tc>
      </w:tr>
      <w:tr>
        <w:tc>
          <w:tcPr>
            <w:tcW w:type="dxa" w:w="825"/>
          </w:tcPr>
          <w:p>
            <w:r/>
            <w:r>
              <w:rPr>
                <w:rFonts w:ascii="Times New Roman" w:hAnsi="Times New Roman"/>
                <w:b w:val="0"/>
                <w:sz w:val="20"/>
              </w:rPr>
              <w:t>AI based tool for monitoring intensity and fatigue in elite women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Acute Biochemical Responses to Competitive Tournament Load in Female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8</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idade média de 83 anos é implausível para a amostra</w:t>
            </w:r>
          </w:p>
        </w:tc>
      </w:tr>
      <w:tr>
        <w:tc>
          <w:tcPr>
            <w:tcW w:type="dxa" w:w="825"/>
          </w:tcPr>
          <w:p>
            <w:r/>
            <w:r>
              <w:rPr>
                <w:rFonts w:ascii="Times New Roman" w:hAnsi="Times New Roman"/>
                <w:b w:val="0"/>
                <w:sz w:val="20"/>
              </w:rPr>
              <w:t>Assessing toxic leadership in high-performance sports: Psychometric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132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coesão e grupo; personalidade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Associations Between Endocrine Status and Stress, Mood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370</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PSS (Perceived Stress Scale); POMS</w:t>
            </w:r>
          </w:p>
        </w:tc>
        <w:tc>
          <w:tcPr>
            <w:tcW w:type="dxa" w:w="825"/>
          </w:tcPr>
          <w:p>
            <w:r/>
            <w:r>
              <w:rPr>
                <w:rFonts w:ascii="Times New Roman" w:hAnsi="Times New Roman"/>
                <w:b w:val="0"/>
                <w:sz w:val="20"/>
              </w:rPr>
              <w:t>ansiedade e estresse; humor e afeto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Athlete Monitoring in Handball (ATHMON HB): Relationship Between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Attacking and goal-scoring trends among top teams in EHF EURO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n = 2016 coincide com ano-calendário; conferir no texto</w:t>
            </w:r>
          </w:p>
        </w:tc>
      </w:tr>
      <w:tr>
        <w:tc>
          <w:tcPr>
            <w:tcW w:type="dxa" w:w="825"/>
          </w:tcPr>
          <w:p>
            <w:r/>
            <w:r>
              <w:rPr>
                <w:rFonts w:ascii="Times New Roman" w:hAnsi="Times New Roman"/>
                <w:b w:val="0"/>
                <w:sz w:val="20"/>
              </w:rPr>
              <w:t>Changes in perceptions of coach- and peer-created motivational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11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Characterizing Psychomotor Abilities of Male Handball Players of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75</w:t>
            </w:r>
          </w:p>
        </w:tc>
        <w:tc>
          <w:tcPr>
            <w:tcW w:type="dxa" w:w="825"/>
          </w:tcPr>
          <w:p>
            <w:r/>
            <w:r>
              <w:rPr>
                <w:rFonts w:ascii="Times New Roman" w:hAnsi="Times New Roman"/>
                <w:b w:val="0"/>
                <w:sz w:val="20"/>
              </w:rPr>
              <w:t>15.3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Comparing drift-diffusion modeling and finger tracking as a window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27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Comparison of shoulder kinetics between running overhead throws with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Comparison of thoracic spine range of motion in different types of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Constructing control and confidence: Discursive strategies of coaches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Constructive optimization of a wheelchair for sport activities</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Correlation Between Body Mass Index, Self-Esteem and Stress Among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122</w:t>
            </w:r>
          </w:p>
        </w:tc>
        <w:tc>
          <w:tcPr>
            <w:tcW w:type="dxa" w:w="825"/>
          </w:tcPr>
          <w:p>
            <w:r/>
            <w:r>
              <w:rPr>
                <w:rFonts w:ascii="Times New Roman" w:hAnsi="Times New Roman"/>
                <w:b w:val="0"/>
                <w:sz w:val="20"/>
              </w:rPr>
              <w:t>21.5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Data-Driven External-Load Analytics: Integrating Cluster Analysis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695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Dose-Dependent Effects of Acute Caffeine Ingestion on Physical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Arábia Saudita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Ecological Validity of Maximal Exercise Tests to Simulate Competitive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humor e afeto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8 days of Ashwagandha supplementation on strength,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31</w:t>
            </w:r>
          </w:p>
        </w:tc>
        <w:tc>
          <w:tcPr>
            <w:tcW w:type="dxa" w:w="825"/>
          </w:tcPr>
          <w:p>
            <w:r/>
            <w:r>
              <w:rPr>
                <w:rFonts w:ascii="Times New Roman" w:hAnsi="Times New Roman"/>
                <w:b w:val="0"/>
                <w:sz w:val="20"/>
              </w:rPr>
              <w:t>20.3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TQR</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Cognitively Enriched Handball Training on Behavioral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45</w:t>
            </w:r>
          </w:p>
        </w:tc>
        <w:tc>
          <w:tcPr>
            <w:tcW w:type="dxa" w:w="825"/>
          </w:tcPr>
          <w:p>
            <w:r/>
            <w:r>
              <w:rPr>
                <w:rFonts w:ascii="Times New Roman" w:hAnsi="Times New Roman"/>
                <w:b w:val="0"/>
                <w:sz w:val="20"/>
              </w:rPr>
              <w:t>7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Corsi / span de memória</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Pre-Session Video Observational Modeling on Emotional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13.2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TEIQue / SSEIT</w:t>
            </w:r>
          </w:p>
        </w:tc>
        <w:tc>
          <w:tcPr>
            <w:tcW w:type="dxa" w:w="825"/>
          </w:tcPr>
          <w:p>
            <w:r/>
            <w:r>
              <w:rPr>
                <w:rFonts w:ascii="Times New Roman" w:hAnsi="Times New Roman"/>
                <w:b w:val="0"/>
                <w:sz w:val="20"/>
              </w:rPr>
              <w:t>emoção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Recreational Soccer and Team Handball Training on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11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an 8-week mental preparation program combining progressive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Quase-experimental</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Fact or Fiction? Examining the Veracity of Common Myths Related to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Fostering social inclusion through adapted physical activity: an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Coreia do Sul</w:t>
            </w:r>
          </w:p>
        </w:tc>
        <w:tc>
          <w:tcPr>
            <w:tcW w:type="dxa" w:w="825"/>
          </w:tcPr>
          <w:p>
            <w:r/>
            <w:r>
              <w:rPr>
                <w:rFonts w:ascii="Times New Roman" w:hAnsi="Times New Roman"/>
                <w:b w:val="0"/>
                <w:sz w:val="20"/>
              </w:rPr>
              <w:t>35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small-sided games and running-based high-intensity interval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45</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idade média de 82 anos é implausível para a amostra; nível 'jovem/base' incompatível com idade média de 82 anos</w:t>
            </w:r>
          </w:p>
        </w:tc>
      </w:tr>
      <w:tr>
        <w:tc>
          <w:tcPr>
            <w:tcW w:type="dxa" w:w="825"/>
          </w:tcPr>
          <w:p>
            <w:r/>
            <w:r>
              <w:rPr>
                <w:rFonts w:ascii="Times New Roman" w:hAnsi="Times New Roman"/>
                <w:b w:val="0"/>
                <w:sz w:val="20"/>
              </w:rPr>
              <w:t>In-game monitoring of adolescent handball players: a preliminary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11</w:t>
            </w:r>
          </w:p>
        </w:tc>
        <w:tc>
          <w:tcPr>
            <w:tcW w:type="dxa" w:w="825"/>
          </w:tcPr>
          <w:p>
            <w:r/>
            <w:r>
              <w:rPr>
                <w:rFonts w:ascii="Times New Roman" w:hAnsi="Times New Roman"/>
                <w:b w:val="0"/>
                <w:sz w:val="20"/>
              </w:rPr>
              <w:t>16.1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Influence of a sport-oriented exercise concept on motor performance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32</w:t>
            </w:r>
          </w:p>
        </w:tc>
        <w:tc>
          <w:tcPr>
            <w:tcW w:type="dxa" w:w="825"/>
          </w:tcPr>
          <w:p>
            <w:r/>
            <w:r>
              <w:rPr>
                <w:rFonts w:ascii="Times New Roman" w:hAnsi="Times New Roman"/>
                <w:b w:val="0"/>
                <w:sz w:val="20"/>
              </w:rPr>
              <w:t>23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Influence of diurnal variations on cognitive coordination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18</w:t>
            </w:r>
          </w:p>
        </w:tc>
        <w:tc>
          <w:tcPr>
            <w:tcW w:type="dxa" w:w="825"/>
          </w:tcPr>
          <w:p>
            <w:r/>
            <w:r>
              <w:rPr>
                <w:rFonts w:ascii="Times New Roman" w:hAnsi="Times New Roman"/>
                <w:b w:val="0"/>
                <w:sz w:val="20"/>
              </w:rPr>
              <w:t>17.5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cognição e atenção; humor e afeto;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Influence of stimulus material and effector specificity on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28</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Integrated monitoring of training and sport performance throughout an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Lituânia</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n = 2022 coincide com ano-calendário; conferir no texto</w:t>
            </w:r>
          </w:p>
        </w:tc>
      </w:tr>
      <w:tr>
        <w:tc>
          <w:tcPr>
            <w:tcW w:type="dxa" w:w="825"/>
          </w:tcPr>
          <w:p>
            <w:r/>
            <w:r>
              <w:rPr>
                <w:rFonts w:ascii="Times New Roman" w:hAnsi="Times New Roman"/>
                <w:b w:val="0"/>
                <w:sz w:val="20"/>
              </w:rPr>
              <w:t>Kids' motives of sport participation and the image of handball-a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motivação; sono e recuperação (a confirmar no texto)</w:t>
            </w:r>
          </w:p>
        </w:tc>
        <w:tc>
          <w:tcPr>
            <w:tcW w:type="dxa" w:w="825"/>
          </w:tcPr>
          <w:p>
            <w:r/>
            <w:r>
              <w:rPr>
                <w:rFonts w:ascii="Times New Roman" w:hAnsi="Times New Roman"/>
                <w:b w:val="0"/>
                <w:sz w:val="20"/>
              </w:rPr>
              <w:t>n = 2007 coincide com ano-calendário; conferir no texto; delineamento não declarado no resumo</w:t>
            </w:r>
          </w:p>
        </w:tc>
      </w:tr>
      <w:tr>
        <w:tc>
          <w:tcPr>
            <w:tcW w:type="dxa" w:w="825"/>
          </w:tcPr>
          <w:p>
            <w:r/>
            <w:r>
              <w:rPr>
                <w:rFonts w:ascii="Times New Roman" w:hAnsi="Times New Roman"/>
                <w:b w:val="0"/>
                <w:sz w:val="20"/>
              </w:rPr>
              <w:t>Navigating care and compromise: A qualitative study of medical staff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Overcoming mental fatigue through mindfulness: Improving physical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56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Stroop; MBI</w:t>
            </w:r>
          </w:p>
        </w:tc>
        <w:tc>
          <w:tcPr>
            <w:tcW w:type="dxa" w:w="825"/>
          </w:tcPr>
          <w:p>
            <w:r/>
            <w:r>
              <w:rPr>
                <w:rFonts w:ascii="Times New Roman" w:hAnsi="Times New Roman"/>
                <w:b w:val="0"/>
                <w:sz w:val="20"/>
              </w:rPr>
              <w:t>burnout e saúde mental; cognição e atenção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Parents' role in dropout: one of the important stakeholders in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Penalty kick or not? Differences in the interpretation of handball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154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Perceived psychological stressors in female age-specific national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145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Preparing for life beyond sport: dual career awareness, developmental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920</w:t>
            </w:r>
          </w:p>
        </w:tc>
        <w:tc>
          <w:tcPr>
            <w:tcW w:type="dxa" w:w="825"/>
          </w:tcPr>
          <w:p>
            <w:r/>
            <w:r>
              <w:rPr>
                <w:rFonts w:ascii="Times New Roman" w:hAnsi="Times New Roman"/>
                <w:b w:val="0"/>
                <w:sz w:val="20"/>
              </w:rPr>
              <w:t>36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personalidade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Psychological well-being and aggression in handball players: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442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Psychometric properties of the French athlete version of the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CART-Q</w:t>
            </w:r>
          </w:p>
        </w:tc>
        <w:tc>
          <w:tcPr>
            <w:tcW w:type="dxa" w:w="825"/>
          </w:tcPr>
          <w:p>
            <w:r/>
            <w:r>
              <w:rPr>
                <w:rFonts w:ascii="Times New Roman" w:hAnsi="Times New Roman"/>
                <w:b w:val="0"/>
                <w:sz w:val="20"/>
              </w:rPr>
              <w:t>coesão e grupo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Psychometric validation and gender invariance of the Arabic Athlete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298</w:t>
            </w:r>
          </w:p>
        </w:tc>
        <w:tc>
          <w:tcPr>
            <w:tcW w:type="dxa" w:w="825"/>
          </w:tcPr>
          <w:p>
            <w:r/>
            <w:r>
              <w:rPr>
                <w:rFonts w:ascii="Times New Roman" w:hAnsi="Times New Roman"/>
                <w:b w:val="0"/>
                <w:sz w:val="20"/>
              </w:rPr>
              <w:t>26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ABQ (Athlete Burnout Questionnaire)</w:t>
            </w:r>
          </w:p>
        </w:tc>
        <w:tc>
          <w:tcPr>
            <w:tcW w:type="dxa" w:w="825"/>
          </w:tcPr>
          <w:p>
            <w:r/>
            <w:r>
              <w:rPr>
                <w:rFonts w:ascii="Times New Roman" w:hAnsi="Times New Roman"/>
                <w:b w:val="0"/>
                <w:sz w:val="20"/>
              </w:rPr>
              <w:t>burnout e saúde mental</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Relationships between functional performance, body composition,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34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Seasonal Changes in Psychomotor Abilities of Male Handball Players.</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77</w:t>
            </w:r>
          </w:p>
        </w:tc>
        <w:tc>
          <w:tcPr>
            <w:tcW w:type="dxa" w:w="825"/>
          </w:tcPr>
          <w:p>
            <w:r/>
            <w:r>
              <w:rPr>
                <w:rFonts w:ascii="Times New Roman" w:hAnsi="Times New Roman"/>
                <w:b w:val="0"/>
                <w:sz w:val="20"/>
              </w:rPr>
              <w:t>25.6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Sensor-Based and VR-Assisted Visual Training Enhances Visuomotor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Sports Experiences as Predictors of Pre-Competitive Anxiety in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135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CSAI-2 / CSAI-2R</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Static Tactical Diagrams and Imagination: Differential Effects on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Technology-Assisted Neuromotor Training for Improving Visuomotor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Romênia</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12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Temperament, personality and decision-making accuracy in handball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41</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Teste de tomada de decisão em vídeo; NEO-FFI / NEO-PI-R; Big Five (BFI / TIPI); FCB-TI</w:t>
            </w:r>
          </w:p>
        </w:tc>
        <w:tc>
          <w:tcPr>
            <w:tcW w:type="dxa" w:w="825"/>
          </w:tcPr>
          <w:p>
            <w:r/>
            <w:r>
              <w:rPr>
                <w:rFonts w:ascii="Times New Roman" w:hAnsi="Times New Roman"/>
                <w:b w:val="0"/>
                <w:sz w:val="20"/>
              </w:rPr>
              <w:t>cognição e atenção; personalidade</w:t>
            </w:r>
          </w:p>
        </w:tc>
        <w:tc>
          <w:tcPr>
            <w:tcW w:type="dxa" w:w="825"/>
          </w:tcPr>
          <w:p>
            <w:r/>
            <w:r>
              <w:rPr>
                <w:rFonts w:ascii="Times New Roman" w:hAnsi="Times New Roman"/>
                <w:b w:val="0"/>
                <w:sz w:val="20"/>
              </w:rPr>
              <w:t>idade média de 71 anos é implausível para a amostra; delineamento não declarado no resumo</w:t>
            </w:r>
          </w:p>
        </w:tc>
      </w:tr>
      <w:tr>
        <w:tc>
          <w:tcPr>
            <w:tcW w:type="dxa" w:w="825"/>
          </w:tcPr>
          <w:p>
            <w:r/>
            <w:r>
              <w:rPr>
                <w:rFonts w:ascii="Times New Roman" w:hAnsi="Times New Roman"/>
                <w:b w:val="0"/>
                <w:sz w:val="20"/>
              </w:rPr>
              <w:t>Temporal and situational analysis of 7-m shots in elite handball: a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n = 2000 coincide com ano-calendário; conferir no texto; delineamento não declarado no resumo</w:t>
            </w:r>
          </w:p>
        </w:tc>
      </w:tr>
      <w:tr>
        <w:tc>
          <w:tcPr>
            <w:tcW w:type="dxa" w:w="825"/>
          </w:tcPr>
          <w:p>
            <w:r/>
            <w:r>
              <w:rPr>
                <w:rFonts w:ascii="Times New Roman" w:hAnsi="Times New Roman"/>
                <w:b w:val="0"/>
                <w:sz w:val="20"/>
              </w:rPr>
              <w:t>The Development, Validation and Reliability of the Sports Injury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528</w:t>
            </w:r>
          </w:p>
        </w:tc>
        <w:tc>
          <w:tcPr>
            <w:tcW w:type="dxa" w:w="825"/>
          </w:tcPr>
          <w:p>
            <w:r/>
            <w:r>
              <w:rPr>
                <w:rFonts w:ascii="Times New Roman" w:hAnsi="Times New Roman"/>
                <w:b w:val="0"/>
                <w:sz w:val="20"/>
              </w:rPr>
              <w:t>17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Impact of Mental Fatigue on Decision-Making Abilities, Visual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Coreia do Sul</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Stroop; Teste de tomada de decisão em vídeo</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achievement-dropout paradox: structural and performance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898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paradox of sleep quality and training load in deaf handball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relationship between perceived motivational climate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522</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PMCSQ; DASS-21; Rosenberg (RSES)</w:t>
            </w:r>
          </w:p>
        </w:tc>
        <w:tc>
          <w:tcPr>
            <w:tcW w:type="dxa" w:w="825"/>
          </w:tcPr>
          <w:p>
            <w:r/>
            <w:r>
              <w:rPr>
                <w:rFonts w:ascii="Times New Roman" w:hAnsi="Times New Roman"/>
                <w:b w:val="0"/>
                <w:sz w:val="20"/>
              </w:rPr>
              <w:t>autoeficácia e confiança; burnout e saúde mental; 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relationship between personality traits, sex, age, performance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114</w:t>
            </w:r>
          </w:p>
        </w:tc>
        <w:tc>
          <w:tcPr>
            <w:tcW w:type="dxa" w:w="825"/>
          </w:tcPr>
          <w:p>
            <w:r/>
            <w:r>
              <w:rPr>
                <w:rFonts w:ascii="Times New Roman" w:hAnsi="Times New Roman"/>
                <w:b w:val="0"/>
                <w:sz w:val="20"/>
              </w:rPr>
              <w:t>26.4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NEO-FFI / NEO-PI-R</w:t>
            </w:r>
          </w:p>
        </w:tc>
        <w:tc>
          <w:tcPr>
            <w:tcW w:type="dxa" w:w="825"/>
          </w:tcPr>
          <w:p>
            <w:r/>
            <w:r>
              <w:rPr>
                <w:rFonts w:ascii="Times New Roman" w:hAnsi="Times New Roman"/>
                <w:b w:val="0"/>
                <w:sz w:val="20"/>
              </w:rPr>
              <w:t>personalidade</w:t>
            </w:r>
          </w:p>
        </w:tc>
        <w:tc>
          <w:tcPr>
            <w:tcW w:type="dxa" w:w="825"/>
          </w:tcPr>
          <w:p>
            <w:r/>
            <w:r>
              <w:rPr>
                <w:rFonts w:ascii="Times New Roman" w:hAnsi="Times New Roman"/>
                <w:b w:val="0"/>
                <w:sz w:val="20"/>
              </w:rPr>
              <w:t>nível 'jovem/base' incompatível com idade média de 26.4 anos; delineamento não declarado no resumo</w:t>
            </w:r>
          </w:p>
        </w:tc>
      </w:tr>
      <w:tr>
        <w:tc>
          <w:tcPr>
            <w:tcW w:type="dxa" w:w="825"/>
          </w:tcPr>
          <w:p>
            <w:r/>
            <w:r>
              <w:rPr>
                <w:rFonts w:ascii="Times New Roman" w:hAnsi="Times New Roman"/>
                <w:b w:val="0"/>
                <w:sz w:val="20"/>
              </w:rPr>
              <w:t>Training alone, driven together: The impact of social identity on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36</w:t>
            </w:r>
          </w:p>
        </w:tc>
        <w:tc>
          <w:tcPr>
            <w:tcW w:type="dxa" w:w="825"/>
          </w:tcPr>
          <w:p>
            <w:r/>
            <w:r>
              <w:rPr>
                <w:rFonts w:ascii="Times New Roman" w:hAnsi="Times New Roman"/>
                <w:b w:val="0"/>
                <w:sz w:val="20"/>
              </w:rPr>
              <w:t>15.7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Visual search behavior and decision-making in expert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China</w:t>
            </w:r>
          </w:p>
        </w:tc>
        <w:tc>
          <w:tcPr>
            <w:tcW w:type="dxa" w:w="825"/>
          </w:tcPr>
          <w:p>
            <w:r/>
            <w:r>
              <w:rPr>
                <w:rFonts w:ascii="Times New Roman" w:hAnsi="Times New Roman"/>
                <w:b w:val="0"/>
                <w:sz w:val="20"/>
              </w:rPr>
              <w:t>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What lies behind injury prevention behaviour in youth handball and […]</w:t>
            </w:r>
          </w:p>
        </w:tc>
        <w:tc>
          <w:tcPr>
            <w:tcW w:type="dxa" w:w="825"/>
          </w:tcPr>
          <w:p>
            <w:r/>
            <w:r>
              <w:rPr>
                <w:rFonts w:ascii="Times New Roman" w:hAnsi="Times New Roman"/>
                <w:b w:val="0"/>
                <w:sz w:val="20"/>
              </w:rPr>
              <w:t>2026</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245</w:t>
            </w:r>
          </w:p>
        </w:tc>
        <w:tc>
          <w:tcPr>
            <w:tcW w:type="dxa" w:w="825"/>
          </w:tcPr>
          <w:p>
            <w:r/>
            <w:r>
              <w:rPr>
                <w:rFonts w:ascii="Times New Roman" w:hAnsi="Times New Roman"/>
                <w:b w:val="0"/>
                <w:sz w:val="20"/>
              </w:rPr>
              <w:t>12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"Anyone who weighs up risks doesn't belong here": how do elite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"Like Emotional Zombies"-Individual and Interpersonal Emotion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Austrália</w:t>
            </w:r>
          </w:p>
        </w:tc>
        <w:tc>
          <w:tcPr>
            <w:tcW w:type="dxa" w:w="825"/>
          </w:tcPr>
          <w:p>
            <w:r/>
            <w:r>
              <w:rPr>
                <w:rFonts w:ascii="Times New Roman" w:hAnsi="Times New Roman"/>
                <w:b w:val="0"/>
                <w:sz w:val="20"/>
              </w:rPr>
              <w:t>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 Pilot Study of a Brief Compassion and ACT Based Sports Program on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Piloto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 comparative study of personality and cognitive functions in elite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Vienna Test System</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Agility in Handball: Position- and Age-Specific Insights in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92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Analysis of sleep quality and quantity during a half-season in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106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Analysis of the performance of professional handball athletes from a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Anatomic Risk Factors for Initial and Secondary Noncontact Anterior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880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Association Between Eating Behaviors and Subjective Well-Being in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64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Índice de Hooper</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Athlete monitoring in handball (ATHMON HB): a survey of current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104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Athlete monitoring in handball (ATHMON HB): a systematic review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Coaches' perspectives on the implementation of injury prevention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29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Comparing Adapted Small-Sided Team Sports and Aerobic Exercise with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idade média de 69.3 anos é implausível para a amostra</w:t>
            </w:r>
          </w:p>
        </w:tc>
      </w:tr>
      <w:tr>
        <w:tc>
          <w:tcPr>
            <w:tcW w:type="dxa" w:w="825"/>
          </w:tcPr>
          <w:p>
            <w:r/>
            <w:r>
              <w:rPr>
                <w:rFonts w:ascii="Times New Roman" w:hAnsi="Times New Roman"/>
                <w:b w:val="0"/>
                <w:sz w:val="20"/>
              </w:rPr>
              <w:t>Connections between competencies and abilities in female artistic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cognição e atenção;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Context modulates evidence accumulation in split-second handball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Coping Strategies Before Competition: The Role of Stress, Cognitive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383</w:t>
            </w:r>
          </w:p>
        </w:tc>
        <w:tc>
          <w:tcPr>
            <w:tcW w:type="dxa" w:w="825"/>
          </w:tcPr>
          <w:p>
            <w:r/>
            <w:r>
              <w:rPr>
                <w:rFonts w:ascii="Times New Roman" w:hAnsi="Times New Roman"/>
                <w:b w:val="0"/>
                <w:sz w:val="20"/>
              </w:rPr>
              <w:t>22.9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Daily measures of sport enjoyment, social interaction, and attendance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27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Decision-making process in game sports: what do top-level players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Suíça</w:t>
            </w:r>
          </w:p>
        </w:tc>
        <w:tc>
          <w:tcPr>
            <w:tcW w:type="dxa" w:w="825"/>
          </w:tcPr>
          <w:p>
            <w:r/>
            <w:r>
              <w:rPr>
                <w:rFonts w:ascii="Times New Roman" w:hAnsi="Times New Roman"/>
                <w:b w:val="0"/>
                <w:sz w:val="20"/>
              </w:rPr>
              <w:t>100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Desequilibrio de los jugadores y las jugadoras centrales en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Disciplinary strategies or reactive measures? An analysis of coach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 of COVID-19 infection on the performance of elite adolescent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 of simulated handball match-induced fatigue on isokinetic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Effectiveness of affordances on physical literacy and quality of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8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8-week strength training on basal hormone levels, sex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daily use of intermittent pneumatic compression in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speed, agility, and quickness training on athletic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China</w:t>
            </w:r>
          </w:p>
        </w:tc>
        <w:tc>
          <w:tcPr>
            <w:tcW w:type="dxa" w:w="825"/>
          </w:tcPr>
          <w:p>
            <w:r/>
            <w:r>
              <w:rPr>
                <w:rFonts w:ascii="Times New Roman" w:hAnsi="Times New Roman"/>
                <w:b w:val="0"/>
                <w:sz w:val="20"/>
              </w:rPr>
              <w:t>619</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Emotions, Confidence, and Risk Appraisal in Athletes With Hypermobile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1410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Enhancing children's motivation and enjoyment in playing games: the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Ergogenic Effects of Combined Caffeine Supplementation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16.7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Expertise and training of anticipation in goalkeeping: Two scoping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Exploration of Factors Predicting Sport Coaches' Perceived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61</w:t>
            </w:r>
          </w:p>
        </w:tc>
        <w:tc>
          <w:tcPr>
            <w:tcW w:type="dxa" w:w="825"/>
          </w:tcPr>
          <w:p>
            <w:r/>
            <w:r>
              <w:rPr>
                <w:rFonts w:ascii="Times New Roman" w:hAnsi="Times New Roman"/>
                <w:b w:val="0"/>
                <w:sz w:val="20"/>
              </w:rPr>
              <w:t>26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Quase-experimental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Exploring gender-based disparities in emotional distress among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18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Exploring the interplay of coach behaviours, team resilience, support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285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coesão e grupo; coping e resiliência;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Exploring the role of sex and maturation in a bio-banding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From pandemic to podium? Norwegian Olympic handball players' journey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Gaze behavior and decision-making among handball referees: exploring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51</w:t>
            </w:r>
          </w:p>
        </w:tc>
        <w:tc>
          <w:tcPr>
            <w:tcW w:type="dxa" w:w="825"/>
          </w:tcPr>
          <w:p>
            <w:r/>
            <w:r>
              <w:rPr>
                <w:rFonts w:ascii="Times New Roman" w:hAnsi="Times New Roman"/>
                <w:b w:val="0"/>
                <w:sz w:val="20"/>
              </w:rPr>
              <w:t>25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Teste de tomada de decisão em vídeo</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Gender features of psychophysiological state in handball players</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playing volume and knee injury risk in youth handball: the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679</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Health Problems in Danish Adolescent Handball Players: Findings From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945</w:t>
            </w:r>
          </w:p>
        </w:tc>
        <w:tc>
          <w:tcPr>
            <w:tcW w:type="dxa" w:w="825"/>
          </w:tcPr>
          <w:p>
            <w:r/>
            <w:r>
              <w:rPr>
                <w:rFonts w:ascii="Times New Roman" w:hAnsi="Times New Roman"/>
                <w:b w:val="0"/>
                <w:sz w:val="20"/>
              </w:rPr>
              <w:t>11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Heart Rate Variability Alterations During Delayed-Onset Muscle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Hydrogen-Rich Water Decreases Muscle Damage and Improves Power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Rússia</w:t>
            </w:r>
          </w:p>
        </w:tc>
        <w:tc>
          <w:tcPr>
            <w:tcW w:type="dxa" w:w="825"/>
          </w:tcPr>
          <w:p>
            <w:r/>
            <w:r>
              <w:rPr>
                <w:rFonts w:ascii="Times New Roman" w:hAnsi="Times New Roman"/>
                <w:b w:val="0"/>
                <w:sz w:val="20"/>
              </w:rPr>
              <w:t>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RESTQ-Sport</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Impact of ball weight on elbow kinetics and kinematics in team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36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Impacto del modelo ludocomprensivo en el estilo interpersonal del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Informal leader in lower secondary education – participation patterns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KNOWLEDGE OF SELF-INJURY IN SPORT: AN EDUCATIONAL APPROACH TO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38</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Low-Load Blood-flow Restriction Training for Medial Tibial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Musculoskeletal health in esport: a cross-sectional comparison of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175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Non-modifiable and modifiable factors affecting anxiety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168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Optimizing Motor Coordination in Children with Developmental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15</w:t>
            </w:r>
          </w:p>
        </w:tc>
        <w:tc>
          <w:tcPr>
            <w:tcW w:type="dxa" w:w="825"/>
          </w:tcPr>
          <w:p>
            <w:r/>
            <w:r>
              <w:rPr>
                <w:rFonts w:ascii="Times New Roman" w:hAnsi="Times New Roman"/>
                <w:b w:val="0"/>
                <w:sz w:val="20"/>
              </w:rPr>
              <w:t>9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Parental Involvement in Sport: Mother- and Father-Initiated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336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Perception of sexual harassment among female athletes participating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300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Perfectionism and fear of failure, according to sporting experience.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93</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personalidade (a confirmar no texto)</w:t>
            </w:r>
          </w:p>
        </w:tc>
        <w:tc>
          <w:tcPr>
            <w:tcW w:type="dxa" w:w="825"/>
          </w:tcPr>
          <w:p>
            <w:r/>
            <w:r>
              <w:rPr>
                <w:rFonts w:ascii="Times New Roman" w:hAnsi="Times New Roman"/>
                <w:b w:val="0"/>
                <w:sz w:val="20"/>
              </w:rPr>
              <w:t>idade média de 62 anos é implausível para a amostra; delineamento não declarado no resumo</w:t>
            </w:r>
          </w:p>
        </w:tc>
      </w:tr>
      <w:tr>
        <w:tc>
          <w:tcPr>
            <w:tcW w:type="dxa" w:w="825"/>
          </w:tcPr>
          <w:p>
            <w:r/>
            <w:r>
              <w:rPr>
                <w:rFonts w:ascii="Times New Roman" w:hAnsi="Times New Roman"/>
                <w:b w:val="0"/>
                <w:sz w:val="20"/>
              </w:rPr>
              <w:t>Perspectives on usability and adoption of a new ACL injury prevention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Estados Unidos</w:t>
            </w:r>
          </w:p>
        </w:tc>
        <w:tc>
          <w:tcPr>
            <w:tcW w:type="dxa" w:w="825"/>
          </w:tcPr>
          <w:p>
            <w:r/>
            <w:r>
              <w:rPr>
                <w:rFonts w:ascii="Times New Roman" w:hAnsi="Times New Roman"/>
                <w:b w:val="0"/>
                <w:sz w:val="20"/>
              </w:rPr>
              <w:t>23</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Physical Activity Levels and Body Mass Index in Sport Education. Is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Actigrafia / diário de sono</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idade média de 68 anos é implausível para a amostra; delineamento não declarado no resumo</w:t>
            </w:r>
          </w:p>
        </w:tc>
      </w:tr>
      <w:tr>
        <w:tc>
          <w:tcPr>
            <w:tcW w:type="dxa" w:w="825"/>
          </w:tcPr>
          <w:p>
            <w:r/>
            <w:r>
              <w:rPr>
                <w:rFonts w:ascii="Times New Roman" w:hAnsi="Times New Roman"/>
                <w:b w:val="0"/>
                <w:sz w:val="20"/>
              </w:rPr>
              <w:t>Precision or adaptability? Contrasting effects of linear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Chile</w:t>
            </w:r>
          </w:p>
        </w:tc>
        <w:tc>
          <w:tcPr>
            <w:tcW w:type="dxa" w:w="825"/>
          </w:tcPr>
          <w:p>
            <w:r/>
            <w:r>
              <w:rPr>
                <w:rFonts w:ascii="Times New Roman" w:hAnsi="Times New Roman"/>
                <w:b w:val="0"/>
                <w:sz w:val="20"/>
              </w:rPr>
              <w:t>23</w:t>
            </w:r>
          </w:p>
        </w:tc>
        <w:tc>
          <w:tcPr>
            <w:tcW w:type="dxa" w:w="825"/>
          </w:tcPr>
          <w:p>
            <w:r/>
            <w:r>
              <w:rPr>
                <w:rFonts w:ascii="Times New Roman" w:hAnsi="Times New Roman"/>
                <w:b w:val="0"/>
                <w:sz w:val="20"/>
              </w:rPr>
              <w:t>21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Quase-experimental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Prevalence and correlates of sleep problems with mental health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579</w:t>
            </w:r>
          </w:p>
        </w:tc>
        <w:tc>
          <w:tcPr>
            <w:tcW w:type="dxa" w:w="825"/>
          </w:tcPr>
          <w:p>
            <w:r/>
            <w:r>
              <w:rPr>
                <w:rFonts w:ascii="Times New Roman" w:hAnsi="Times New Roman"/>
                <w:b w:val="0"/>
                <w:sz w:val="20"/>
              </w:rPr>
              <w:t>13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PSS (Perceived Stress Scale); GHQ-12; PSQI</w:t>
            </w:r>
          </w:p>
        </w:tc>
        <w:tc>
          <w:tcPr>
            <w:tcW w:type="dxa" w:w="825"/>
          </w:tcPr>
          <w:p>
            <w:r/>
            <w:r>
              <w:rPr>
                <w:rFonts w:ascii="Times New Roman" w:hAnsi="Times New Roman"/>
                <w:b w:val="0"/>
                <w:sz w:val="20"/>
              </w:rPr>
              <w:t>ansiedade e estresse; burnout e saúde mental; 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Re-injury Anxiety in Elite Iranian Handball Players: A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Relation between Perfectionism and State Anxiety during Practice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Grécia</w:t>
            </w:r>
          </w:p>
        </w:tc>
        <w:tc>
          <w:tcPr>
            <w:tcW w:type="dxa" w:w="825"/>
          </w:tcPr>
          <w:p>
            <w:r/>
            <w:r>
              <w:rPr>
                <w:rFonts w:ascii="Times New Roman" w:hAnsi="Times New Roman"/>
                <w:b w:val="0"/>
                <w:sz w:val="20"/>
              </w:rPr>
              <w:t>159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Risk profiles for self-medication with analgesics among elite German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459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humor e afeto;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Stressed but still in the game: how focus and rem sleep shape daily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Effects of Consuming Mineral Water from the "Topla Voda" Spring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Effects of High-Intensity Interval Training on Both Physical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Israel</w:t>
            </w:r>
          </w:p>
        </w:tc>
        <w:tc>
          <w:tcPr>
            <w:tcW w:type="dxa" w:w="825"/>
          </w:tcPr>
          <w:p>
            <w:r/>
            <w:r>
              <w:rPr>
                <w:rFonts w:ascii="Times New Roman" w:hAnsi="Times New Roman"/>
                <w:b w:val="0"/>
                <w:sz w:val="20"/>
              </w:rPr>
              <w:t>7</w:t>
            </w:r>
          </w:p>
        </w:tc>
        <w:tc>
          <w:tcPr>
            <w:tcW w:type="dxa" w:w="825"/>
          </w:tcPr>
          <w:p>
            <w:r/>
            <w:r>
              <w:rPr>
                <w:rFonts w:ascii="Times New Roman" w:hAnsi="Times New Roman"/>
                <w:b w:val="0"/>
                <w:sz w:val="20"/>
              </w:rPr>
              <w:t>24.5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SCAT; Stroop</w:t>
            </w:r>
          </w:p>
        </w:tc>
        <w:tc>
          <w:tcPr>
            <w:tcW w:type="dxa" w:w="825"/>
          </w:tcPr>
          <w:p>
            <w:r/>
            <w:r>
              <w:rPr>
                <w:rFonts w:ascii="Times New Roman" w:hAnsi="Times New Roman"/>
                <w:b w:val="0"/>
                <w:sz w:val="20"/>
              </w:rPr>
              <w:t>ansiedade e estresse; cognição e atenção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Structure of Psychological Immunity among Youth Team Sports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95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 of Neurofeedback SMR training on psycho-physiological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effectiveness of small sided games in improving the physical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16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humor e afeto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information gain of explicitly provided over self-generated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Suíça</w:t>
            </w:r>
          </w:p>
        </w:tc>
        <w:tc>
          <w:tcPr>
            <w:tcW w:type="dxa" w:w="825"/>
          </w:tcPr>
          <w:p>
            <w:r/>
            <w:r>
              <w:rPr>
                <w:rFonts w:ascii="Times New Roman" w:hAnsi="Times New Roman"/>
                <w:b w:val="0"/>
                <w:sz w:val="20"/>
              </w:rPr>
              <w:t>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possible application of virtual reality for managing anxiety in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24</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coping e resiliência (a confirmar no texto)</w:t>
            </w:r>
          </w:p>
        </w:tc>
        <w:tc>
          <w:tcPr>
            <w:tcW w:type="dxa" w:w="825"/>
          </w:tcPr>
          <w:p>
            <w:r/>
            <w:r>
              <w:rPr>
                <w:rFonts w:ascii="Times New Roman" w:hAnsi="Times New Roman"/>
                <w:b w:val="0"/>
                <w:sz w:val="20"/>
              </w:rPr>
              <w:t>idade média de 71 anos é implausível para a amostra; delineamento não declarado no resumo</w:t>
            </w:r>
          </w:p>
        </w:tc>
      </w:tr>
      <w:tr>
        <w:tc>
          <w:tcPr>
            <w:tcW w:type="dxa" w:w="825"/>
          </w:tcPr>
          <w:p>
            <w:r/>
            <w:r>
              <w:rPr>
                <w:rFonts w:ascii="Times New Roman" w:hAnsi="Times New Roman"/>
                <w:b w:val="0"/>
                <w:sz w:val="20"/>
              </w:rPr>
              <w:t>Towards Personalized Recovery in Handball? The Effects of Playing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102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Índice de Hooper</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Training Load, Fatigue, and Anterior Cruciate Ligament Injury Risk in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93</w:t>
            </w:r>
          </w:p>
        </w:tc>
        <w:tc>
          <w:tcPr>
            <w:tcW w:type="dxa" w:w="825"/>
          </w:tcPr>
          <w:p>
            <w:r/>
            <w:r>
              <w:rPr>
                <w:rFonts w:ascii="Times New Roman" w:hAnsi="Times New Roman"/>
                <w:b w:val="0"/>
                <w:sz w:val="20"/>
              </w:rPr>
              <w:t>20.8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Using functional imagery training to enhance motor performance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coping e resiliência;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VAR consultation patterns and their association with fouls and […]</w:t>
            </w:r>
          </w:p>
        </w:tc>
        <w:tc>
          <w:tcPr>
            <w:tcW w:type="dxa" w:w="825"/>
          </w:tcPr>
          <w:p>
            <w:r/>
            <w:r>
              <w:rPr>
                <w:rFonts w:ascii="Times New Roman" w:hAnsi="Times New Roman"/>
                <w:b w:val="0"/>
                <w:sz w:val="20"/>
              </w:rPr>
              <w:t>2025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402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 Comparative Analysis of Self-Efficacy among Kabaddi and Handball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 comparative study of kinetic balance and static balance among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66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Acute and chronic effects of exercise intensity on cognitive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Índia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Vienna Test System</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Assessing Motivational Factors in Young Serbian Athletes: A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186</w:t>
            </w:r>
          </w:p>
        </w:tc>
        <w:tc>
          <w:tcPr>
            <w:tcW w:type="dxa" w:w="825"/>
          </w:tcPr>
          <w:p>
            <w:r/>
            <w:r>
              <w:rPr>
                <w:rFonts w:ascii="Times New Roman" w:hAnsi="Times New Roman"/>
                <w:b w:val="0"/>
                <w:sz w:val="20"/>
              </w:rPr>
              <w:t>12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Associations between subjective and objective measures of stress and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Eslovênia</w:t>
            </w:r>
          </w:p>
        </w:tc>
        <w:tc>
          <w:tcPr>
            <w:tcW w:type="dxa" w:w="825"/>
          </w:tcPr>
          <w:p>
            <w:r/>
            <w:r>
              <w:rPr>
                <w:rFonts w:ascii="Times New Roman" w:hAnsi="Times New Roman"/>
                <w:b w:val="0"/>
                <w:sz w:val="20"/>
              </w:rPr>
              <w:t>189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Characteristics of specific training in elite handball players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Co-creating holistic injury prevention training for youth handball: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coping e resiliência; 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 of Step Load Based on Time under Tension in Hypoxia on the ACL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 of concentric exercise-induced fatigue on proprioception,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Grécia</w:t>
            </w:r>
          </w:p>
        </w:tc>
        <w:tc>
          <w:tcPr>
            <w:tcW w:type="dxa" w:w="825"/>
          </w:tcPr>
          <w:p>
            <w:r/>
            <w:r>
              <w:rPr>
                <w:rFonts w:ascii="Times New Roman" w:hAnsi="Times New Roman"/>
                <w:b w:val="0"/>
                <w:sz w:val="20"/>
              </w:rPr>
              <w:t>1</w:t>
            </w:r>
          </w:p>
        </w:tc>
        <w:tc>
          <w:tcPr>
            <w:tcW w:type="dxa" w:w="825"/>
          </w:tcPr>
          <w:p>
            <w:r/>
            <w:r>
              <w:rPr>
                <w:rFonts w:ascii="Times New Roman" w:hAnsi="Times New Roman"/>
                <w:b w:val="0"/>
                <w:sz w:val="20"/>
              </w:rPr>
              <w:t>26.1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 of repeated sessions of transcranial direct current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SMS (Sport Motivation Scale); TQR</w:t>
            </w:r>
          </w:p>
        </w:tc>
        <w:tc>
          <w:tcPr>
            <w:tcW w:type="dxa" w:w="825"/>
          </w:tcPr>
          <w:p>
            <w:r/>
            <w:r>
              <w:rPr>
                <w:rFonts w:ascii="Times New Roman" w:hAnsi="Times New Roman"/>
                <w:b w:val="0"/>
                <w:sz w:val="20"/>
              </w:rPr>
              <w:t>motivação; 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Different Caffeine Dosages on Maximal Physical Performance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18.3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Ramadan Fasting on Sleep and Physical Fitness among Young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33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PSQI; Epworth (ESS)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Enhancing Skills, Mood, and Performance in Overweight Handball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22</w:t>
            </w:r>
          </w:p>
        </w:tc>
        <w:tc>
          <w:tcPr>
            <w:tcW w:type="dxa" w:w="825"/>
          </w:tcPr>
          <w:p>
            <w:r/>
            <w:r>
              <w:rPr>
                <w:rFonts w:ascii="Times New Roman" w:hAnsi="Times New Roman"/>
                <w:b w:val="0"/>
                <w:sz w:val="20"/>
              </w:rPr>
              <w:t>17.4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BRUMS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Everything is cool when you're part of a team? The effects of outcome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189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Examining sport tourism role in fostering social sustainability: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Catar</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sono e recuperação (a confirmar no texto)</w:t>
            </w:r>
          </w:p>
        </w:tc>
        <w:tc>
          <w:tcPr>
            <w:tcW w:type="dxa" w:w="825"/>
          </w:tcPr>
          <w:p>
            <w:r/>
            <w:r>
              <w:rPr>
                <w:rFonts w:ascii="Times New Roman" w:hAnsi="Times New Roman"/>
                <w:b w:val="0"/>
                <w:sz w:val="20"/>
              </w:rPr>
              <w:t>n = 2015 coincide com ano-calendário; conferir no texto; delineamento não declarado no resumo</w:t>
            </w:r>
          </w:p>
        </w:tc>
      </w:tr>
      <w:tr>
        <w:tc>
          <w:tcPr>
            <w:tcW w:type="dxa" w:w="825"/>
          </w:tcPr>
          <w:p>
            <w:r/>
            <w:r>
              <w:rPr>
                <w:rFonts w:ascii="Times New Roman" w:hAnsi="Times New Roman"/>
                <w:b w:val="0"/>
                <w:sz w:val="20"/>
              </w:rPr>
              <w:t>Exploring External Load Metrics in Team Handball: A Study of Europe’s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Fear of failure and perception of the motivational climate under the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Flow Training Program: Mindfulness, Decision Making, and Mental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105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Quase-experimental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coping e resiliência;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Gaelic Games Players' and Practitioners' Perceptions of Recovery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1178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Identifying the Qualities of Attention and the Attentional Style in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Romênia</w:t>
            </w:r>
          </w:p>
        </w:tc>
        <w:tc>
          <w:tcPr>
            <w:tcW w:type="dxa" w:w="825"/>
          </w:tcPr>
          <w:p>
            <w:r/>
            <w:r>
              <w:rPr>
                <w:rFonts w:ascii="Times New Roman" w:hAnsi="Times New Roman"/>
                <w:b w:val="0"/>
                <w:sz w:val="20"/>
              </w:rPr>
              <w:t>90</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Implementing injury prevention training in youth handball (I-PROTECT)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burnout e saúde mental; motivação (a confirmar no texto)</w:t>
            </w:r>
          </w:p>
        </w:tc>
        <w:tc>
          <w:tcPr>
            <w:tcW w:type="dxa" w:w="825"/>
          </w:tcPr>
          <w:p>
            <w:r/>
            <w:r>
              <w:rPr>
                <w:rFonts w:ascii="Times New Roman" w:hAnsi="Times New Roman"/>
                <w:b w:val="0"/>
                <w:sz w:val="20"/>
              </w:rPr>
              <w:t>n = 2024 coincide com ano-calendário; conferir no texto</w:t>
            </w:r>
          </w:p>
        </w:tc>
      </w:tr>
      <w:tr>
        <w:tc>
          <w:tcPr>
            <w:tcW w:type="dxa" w:w="825"/>
          </w:tcPr>
          <w:p>
            <w:r/>
            <w:r>
              <w:rPr>
                <w:rFonts w:ascii="Times New Roman" w:hAnsi="Times New Roman"/>
                <w:b w:val="0"/>
                <w:sz w:val="20"/>
              </w:rPr>
              <w:t>Interaction between the leg recovery test and subjective measures of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Maximal oxygen uptake and cardiovascular adaptation to handball game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Motor alterations along the kinetic chain in amateur volleyball and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Nonunion of Isolated Medial Cuneiform Fracture Fixed With a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Percepción de la fatiga y bienestar en jugadoras internacionales de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Índice de Hooper; 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Perception of fatigue and well-being in international beach handball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Índice de Hooper; Questionário de bem-estar / wellness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Perceptions of parental involvement in youth handball players, the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690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Perspectives on reasons why football and handball players sustain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37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Predicting adolescents' continuation in club sports: A prospective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4550</w:t>
            </w:r>
          </w:p>
        </w:tc>
        <w:tc>
          <w:tcPr>
            <w:tcW w:type="dxa" w:w="825"/>
          </w:tcPr>
          <w:p>
            <w:r/>
            <w:r>
              <w:rPr>
                <w:rFonts w:ascii="Times New Roman" w:hAnsi="Times New Roman"/>
                <w:b w:val="0"/>
                <w:sz w:val="20"/>
              </w:rPr>
              <w:t>12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BRSQ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Psychological mood patterns among Jordanian handball players</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76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humor e afeto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Relationship Between Objective and Subjective Markers of Muscle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Reliability of a handball specific strength test battery and the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STUDY ON DUAL CAREERS AND MENTAL HEALTH PROBLEMS OF CATEGORISED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Seasonal Changes in Body Composition in Elite Male Handball Players</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Smartphone Addiction and Related Factors among Athletes.</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202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Social pressures and their relationship to the achievement motivation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160</w:t>
            </w:r>
          </w:p>
        </w:tc>
        <w:tc>
          <w:tcPr>
            <w:tcW w:type="dxa" w:w="825"/>
          </w:tcPr>
          <w:p>
            <w:r/>
            <w:r>
              <w:rPr>
                <w:rFonts w:ascii="Times New Roman" w:hAnsi="Times New Roman"/>
                <w:b w:val="0"/>
                <w:sz w:val="20"/>
              </w:rPr>
              <w:t>10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Swedish elite athletes' experiences of psychotherapy for mental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2</w:t>
            </w:r>
          </w:p>
        </w:tc>
        <w:tc>
          <w:tcPr>
            <w:tcW w:type="dxa" w:w="825"/>
          </w:tcPr>
          <w:p>
            <w:r/>
            <w:r>
              <w:rPr>
                <w:rFonts w:ascii="Times New Roman" w:hAnsi="Times New Roman"/>
                <w:b w:val="0"/>
                <w:sz w:val="20"/>
              </w:rPr>
              <w:t>34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 of Controlled Movement Imaginary on Performance in a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Relationship of Decision-Making Style and Reaction Agility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Use of Extended Reality Technologies in Sport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Austrália</w:t>
            </w:r>
          </w:p>
        </w:tc>
        <w:tc>
          <w:tcPr>
            <w:tcW w:type="dxa" w:w="825"/>
          </w:tcPr>
          <w:p>
            <w:r/>
            <w:r>
              <w:rPr>
                <w:rFonts w:ascii="Times New Roman" w:hAnsi="Times New Roman"/>
                <w:b w:val="0"/>
                <w:sz w:val="20"/>
              </w:rPr>
              <w:t>51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association between team behaviors and competitive anxiety among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China</w:t>
            </w:r>
          </w:p>
        </w:tc>
        <w:tc>
          <w:tcPr>
            <w:tcW w:type="dxa" w:w="825"/>
          </w:tcPr>
          <w:p>
            <w:r/>
            <w:r>
              <w:rPr>
                <w:rFonts w:ascii="Times New Roman" w:hAnsi="Times New Roman"/>
                <w:b w:val="0"/>
                <w:sz w:val="20"/>
              </w:rPr>
              <w:t>307</w:t>
            </w:r>
          </w:p>
        </w:tc>
        <w:tc>
          <w:tcPr>
            <w:tcW w:type="dxa" w:w="825"/>
          </w:tcPr>
          <w:p>
            <w:r/>
            <w:r>
              <w:rPr>
                <w:rFonts w:ascii="Times New Roman" w:hAnsi="Times New Roman"/>
                <w:b w:val="0"/>
                <w:sz w:val="20"/>
              </w:rPr>
              <w:t>24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coesão e grupo; coping e resiliência;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 of repeated concussions on clinical and neurocognitive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74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handball referee’s personality through the lens of players and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cognição e atenção;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impact of intermittent fasting during Ramadan on psychomotor and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23</w:t>
            </w:r>
          </w:p>
        </w:tc>
        <w:tc>
          <w:tcPr>
            <w:tcW w:type="dxa" w:w="825"/>
          </w:tcPr>
          <w:p>
            <w:r/>
            <w:r>
              <w:rPr>
                <w:rFonts w:ascii="Times New Roman" w:hAnsi="Times New Roman"/>
                <w:b w:val="0"/>
                <w:sz w:val="20"/>
              </w:rPr>
              <w:t>17.2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PSQI</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Unveiling Players' Perceptions of Mother- and Father-Initiated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336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Youth sport coaches' perceptions of participating in the […]</w:t>
            </w:r>
          </w:p>
        </w:tc>
        <w:tc>
          <w:tcPr>
            <w:tcW w:type="dxa" w:w="825"/>
          </w:tcPr>
          <w:p>
            <w:r/>
            <w:r>
              <w:rPr>
                <w:rFonts w:ascii="Times New Roman" w:hAnsi="Times New Roman"/>
                <w:b w:val="0"/>
                <w:sz w:val="20"/>
              </w:rPr>
              <w:t>2024</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Activation Capacity of the Intrinsic Musculature of the Foot in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Acute and Long-Lasting Effects of Slow-Paced Breathing on Handball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Analysis of the associations between salivary cortisol-,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24.1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Assessment of return to play after an acute shoulder injury: protocol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350</w:t>
            </w:r>
          </w:p>
        </w:tc>
        <w:tc>
          <w:tcPr>
            <w:tcW w:type="dxa" w:w="825"/>
          </w:tcPr>
          <w:p>
            <w:r/>
            <w:r>
              <w:rPr>
                <w:rFonts w:ascii="Times New Roman" w:hAnsi="Times New Roman"/>
                <w:b w:val="0"/>
                <w:sz w:val="20"/>
              </w:rPr>
              <w:t>35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Bio-Banding in Handball: Academy Players' Perceptions Based on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Reino Unido</w:t>
            </w:r>
          </w:p>
        </w:tc>
        <w:tc>
          <w:tcPr>
            <w:tcW w:type="dxa" w:w="825"/>
          </w:tcPr>
          <w:p>
            <w:r/>
            <w:r>
              <w:rPr>
                <w:rFonts w:ascii="Times New Roman" w:hAnsi="Times New Roman"/>
                <w:b w:val="0"/>
                <w:sz w:val="20"/>
              </w:rPr>
              <w:t>46</w:t>
            </w:r>
          </w:p>
        </w:tc>
        <w:tc>
          <w:tcPr>
            <w:tcW w:type="dxa" w:w="825"/>
          </w:tcPr>
          <w:p>
            <w:r/>
            <w:r>
              <w:rPr>
                <w:rFonts w:ascii="Times New Roman" w:hAnsi="Times New Roman"/>
                <w:b w:val="0"/>
                <w:sz w:val="20"/>
              </w:rPr>
              <w:t>06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Burnout Syndrome in Selectable Athletes for the Brazilian Handball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64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ABQ (Athlete Burnout Questionnaire)</w:t>
            </w:r>
          </w:p>
        </w:tc>
        <w:tc>
          <w:tcPr>
            <w:tcW w:type="dxa" w:w="825"/>
          </w:tcPr>
          <w:p>
            <w:r/>
            <w:r>
              <w:rPr>
                <w:rFonts w:ascii="Times New Roman" w:hAnsi="Times New Roman"/>
                <w:b w:val="0"/>
                <w:sz w:val="20"/>
              </w:rPr>
              <w:t>burnout e saúde mental</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Can participative coach behaviour be perceived as controlling? The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Bélgica</w:t>
            </w:r>
          </w:p>
        </w:tc>
        <w:tc>
          <w:tcPr>
            <w:tcW w:type="dxa" w:w="825"/>
          </w:tcPr>
          <w:p>
            <w:r/>
            <w:r>
              <w:rPr>
                <w:rFonts w:ascii="Times New Roman" w:hAnsi="Times New Roman"/>
                <w:b w:val="0"/>
                <w:sz w:val="20"/>
              </w:rPr>
              <w:t>654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Cognitive representations of handball tactic actions in athletes-The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64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Comparison between Match and Training Session on Biomarker Responses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24.1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Cross-sectional associations between competitive anxiety and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1604</w:t>
            </w:r>
          </w:p>
        </w:tc>
        <w:tc>
          <w:tcPr>
            <w:tcW w:type="dxa" w:w="825"/>
          </w:tcPr>
          <w:p>
            <w:r/>
            <w:r>
              <w:rPr>
                <w:rFonts w:ascii="Times New Roman" w:hAnsi="Times New Roman"/>
                <w:b w:val="0"/>
                <w:sz w:val="20"/>
              </w:rPr>
              <w:t>25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 of Different Warm-Up Durations on the Plasma Oxidative Stress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 of difficulty of task on throwing performance and coping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13</w:t>
            </w:r>
          </w:p>
        </w:tc>
        <w:tc>
          <w:tcPr>
            <w:tcW w:type="dxa" w:w="825"/>
          </w:tcPr>
          <w:p>
            <w:r/>
            <w:r>
              <w:rPr>
                <w:rFonts w:ascii="Times New Roman" w:hAnsi="Times New Roman"/>
                <w:b w:val="0"/>
                <w:sz w:val="20"/>
              </w:rPr>
              <w:t>15.5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physical, psychosocial and dual-career loads on injuries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Eslovênia</w:t>
            </w:r>
          </w:p>
        </w:tc>
        <w:tc>
          <w:tcPr>
            <w:tcW w:type="dxa" w:w="825"/>
          </w:tcPr>
          <w:p>
            <w:r/>
            <w:r>
              <w:rPr>
                <w:rFonts w:ascii="Times New Roman" w:hAnsi="Times New Roman"/>
                <w:b w:val="0"/>
                <w:sz w:val="20"/>
              </w:rPr>
              <w:t>149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Emotional Intelligence in Spanish Elite Athletes: Is There a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1200</w:t>
            </w:r>
          </w:p>
        </w:tc>
        <w:tc>
          <w:tcPr>
            <w:tcW w:type="dxa" w:w="825"/>
          </w:tcPr>
          <w:p>
            <w:r/>
            <w:r>
              <w:rPr>
                <w:rFonts w:ascii="Times New Roman" w:hAnsi="Times New Roman"/>
                <w:b w:val="0"/>
                <w:sz w:val="20"/>
              </w:rPr>
              <w:t>20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Expert goalkeepers' and coaches' views on anticipation and cue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Heart Rate Variability and Cortisol Levels Before and After a Brief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INFLUENCE OF EMOTIONAL INTELLIGENCE OF ELITE WOMEN’S HANDBALL PLAYERS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21</w:t>
            </w:r>
          </w:p>
        </w:tc>
        <w:tc>
          <w:tcPr>
            <w:tcW w:type="dxa" w:w="825"/>
          </w:tcPr>
          <w:p>
            <w:r/>
            <w:r>
              <w:rPr>
                <w:rFonts w:ascii="Times New Roman" w:hAnsi="Times New Roman"/>
                <w:b w:val="0"/>
                <w:sz w:val="20"/>
              </w:rPr>
              <w:t>17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Identity leadership and cohesion in elite sport: The mediating role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441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Is coaches' perceived team performance associated with their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80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Peer Verbal Encouragement Enhances Offensive Performance Indicators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7</w:t>
            </w:r>
          </w:p>
        </w:tc>
        <w:tc>
          <w:tcPr>
            <w:tcW w:type="dxa" w:w="825"/>
          </w:tcPr>
          <w:p>
            <w:r/>
            <w:r>
              <w:rPr>
                <w:rFonts w:ascii="Times New Roman" w:hAnsi="Times New Roman"/>
                <w:b w:val="0"/>
                <w:sz w:val="20"/>
              </w:rPr>
              <w:t>17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Physical demands and psychophysiological stress in young athletes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TQR</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Pre-Exercise Caffeine Intake Attenuates the Negative Effects of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PSQI</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Ramadan Fasting and Short-Term Maximal Physical Performance: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19</w:t>
            </w:r>
          </w:p>
        </w:tc>
        <w:tc>
          <w:tcPr>
            <w:tcW w:type="dxa" w:w="825"/>
          </w:tcPr>
          <w:p>
            <w:r/>
            <w:r>
              <w:rPr>
                <w:rFonts w:ascii="Times New Roman" w:hAnsi="Times New Roman"/>
                <w:b w:val="0"/>
                <w:sz w:val="20"/>
              </w:rPr>
              <w:t>16.8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PSQI</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Relationships between empathy and creativity in collective games: a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Selected personal resources and nutritional behaviours of Polish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142</w:t>
            </w:r>
          </w:p>
        </w:tc>
        <w:tc>
          <w:tcPr>
            <w:tcW w:type="dxa" w:w="825"/>
          </w:tcPr>
          <w:p>
            <w:r/>
            <w:r>
              <w:rPr>
                <w:rFonts w:ascii="Times New Roman" w:hAnsi="Times New Roman"/>
                <w:b w:val="0"/>
                <w:sz w:val="20"/>
              </w:rPr>
              <w:t>20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Stop it! Relationship between sport expertise and response inhibition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4517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Study of Different Personalised Dietary Plans on Eating Behaviour,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21</w:t>
            </w:r>
          </w:p>
        </w:tc>
        <w:tc>
          <w:tcPr>
            <w:tcW w:type="dxa" w:w="825"/>
          </w:tcPr>
          <w:p>
            <w:r/>
            <w:r>
              <w:rPr>
                <w:rFonts w:ascii="Times New Roman" w:hAnsi="Times New Roman"/>
                <w:b w:val="0"/>
                <w:sz w:val="20"/>
              </w:rPr>
              <w:t>22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EAT-26 / imagem corporal; POMS</w:t>
            </w:r>
          </w:p>
        </w:tc>
        <w:tc>
          <w:tcPr>
            <w:tcW w:type="dxa" w:w="825"/>
          </w:tcPr>
          <w:p>
            <w:r/>
            <w:r>
              <w:rPr>
                <w:rFonts w:ascii="Times New Roman" w:hAnsi="Times New Roman"/>
                <w:b w:val="0"/>
                <w:sz w:val="20"/>
              </w:rPr>
              <w:t>burnout e saúde mental; humor e afeto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IMPACT OF A MENTAL IMAGERY BASED INSTRUCTIONAL PROGRAM ON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Effects of School-Based Handball Intervention on 12–14-Year-Old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12.3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Quase-experimental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Effects of Social Processing and Role Type on Attention Networks: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Itália</w:t>
            </w:r>
          </w:p>
        </w:tc>
        <w:tc>
          <w:tcPr>
            <w:tcW w:type="dxa" w:w="825"/>
          </w:tcPr>
          <w:p>
            <w:r/>
            <w:r>
              <w:rPr>
                <w:rFonts w:ascii="Times New Roman" w:hAnsi="Times New Roman"/>
                <w:b w:val="0"/>
                <w:sz w:val="20"/>
              </w:rPr>
              <w:t>103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Impact of Peripheral Vision on Manual Reaction Time Using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Romênia</w:t>
            </w:r>
          </w:p>
        </w:tc>
        <w:tc>
          <w:tcPr>
            <w:tcW w:type="dxa" w:w="825"/>
          </w:tcPr>
          <w:p>
            <w:r/>
            <w:r>
              <w:rPr>
                <w:rFonts w:ascii="Times New Roman" w:hAnsi="Times New Roman"/>
                <w:b w:val="0"/>
                <w:sz w:val="20"/>
              </w:rPr>
              <w:t>412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Use of Recovery Strategies in Gaelic Games: A Mixed-Methods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869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effect of progressive and individualised sport-specific training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375</w:t>
            </w:r>
          </w:p>
        </w:tc>
        <w:tc>
          <w:tcPr>
            <w:tcW w:type="dxa" w:w="825"/>
          </w:tcPr>
          <w:p>
            <w:r/>
            <w:r>
              <w:rPr>
                <w:rFonts w:ascii="Times New Roman" w:hAnsi="Times New Roman"/>
                <w:b w:val="0"/>
                <w:sz w:val="20"/>
              </w:rPr>
              <w:t>15.5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impact of anthropometric measures on plantar pressure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Arábia Saudita</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26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Uses of 360° video in referees' reflectivity training: Possibilities […]</w:t>
            </w:r>
          </w:p>
        </w:tc>
        <w:tc>
          <w:tcPr>
            <w:tcW w:type="dxa" w:w="825"/>
          </w:tcPr>
          <w:p>
            <w:r/>
            <w:r>
              <w:rPr>
                <w:rFonts w:ascii="Times New Roman" w:hAnsi="Times New Roman"/>
                <w:b w:val="0"/>
                <w:sz w:val="20"/>
              </w:rPr>
              <w:t>2023</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"Yeah, I Mean, You're Going to Handball, so You Want to Use Balls as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127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 cluster analysis of high-performance female team players' perceived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615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ARE THERE CONNECTIONS BETWEEN HANDEDNESS, COMPETITIVE RESULTS AND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Analysis of the Relationship between Satisfaction with the Coach and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73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humor e afeto;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Anxiety, depression and post-traumatic stress disorder among female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Are there opportunities for women as head coaches in Brazil's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Association between communication barriers and cohesion in sports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130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GEQ (Group Environment Questionnaire)</w:t>
            </w:r>
          </w:p>
        </w:tc>
        <w:tc>
          <w:tcPr>
            <w:tcW w:type="dxa" w:w="825"/>
          </w:tcPr>
          <w:p>
            <w:r/>
            <w:r>
              <w:rPr>
                <w:rFonts w:ascii="Times New Roman" w:hAnsi="Times New Roman"/>
                <w:b w:val="0"/>
                <w:sz w:val="20"/>
              </w:rPr>
              <w:t>coesão e grupo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Barometric and Spatiotemporal Gait Differences Between Leading and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Egito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31.7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Can caffeine supplementation reverse the impact of time of day on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Cardiorespiratory fitness status of elite handball referees in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291</w:t>
            </w:r>
          </w:p>
        </w:tc>
        <w:tc>
          <w:tcPr>
            <w:tcW w:type="dxa" w:w="825"/>
          </w:tcPr>
          <w:p>
            <w:r/>
            <w:r>
              <w:rPr>
                <w:rFonts w:ascii="Times New Roman" w:hAnsi="Times New Roman"/>
                <w:b w:val="0"/>
                <w:sz w:val="20"/>
              </w:rPr>
              <w:t>29.0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Characteristics of the level of psychomotor abilities of female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118</w:t>
            </w:r>
          </w:p>
        </w:tc>
        <w:tc>
          <w:tcPr>
            <w:tcW w:type="dxa" w:w="825"/>
          </w:tcPr>
          <w:p>
            <w:r/>
            <w:r>
              <w:rPr>
                <w:rFonts w:ascii="Times New Roman" w:hAnsi="Times New Roman"/>
                <w:b w:val="0"/>
                <w:sz w:val="20"/>
              </w:rPr>
              <w:t>19.6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Chronic and Acute Effects on Skin Temperature from a Sport Consisting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Coach-athlete relationship, team cohesion and motivation in Brazilian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165</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SMS (Sport Motivation Scale); YSEQ; CART-Q</w:t>
            </w:r>
          </w:p>
        </w:tc>
        <w:tc>
          <w:tcPr>
            <w:tcW w:type="dxa" w:w="825"/>
          </w:tcPr>
          <w:p>
            <w:r/>
            <w:r>
              <w:rPr>
                <w:rFonts w:ascii="Times New Roman" w:hAnsi="Times New Roman"/>
                <w:b w:val="0"/>
                <w:sz w:val="20"/>
              </w:rPr>
              <w:t>coesão e grupo; motivação</w:t>
            </w:r>
          </w:p>
        </w:tc>
        <w:tc>
          <w:tcPr>
            <w:tcW w:type="dxa" w:w="825"/>
          </w:tcPr>
          <w:p>
            <w:r/>
            <w:r>
              <w:rPr>
                <w:rFonts w:ascii="Times New Roman" w:hAnsi="Times New Roman"/>
                <w:b w:val="0"/>
                <w:sz w:val="20"/>
              </w:rPr>
              <w:t>idade média de 3 anos é implausível para a amostra; delineamento não declarado no resumo</w:t>
            </w:r>
          </w:p>
        </w:tc>
      </w:tr>
      <w:tr>
        <w:tc>
          <w:tcPr>
            <w:tcW w:type="dxa" w:w="825"/>
          </w:tcPr>
          <w:p>
            <w:r/>
            <w:r>
              <w:rPr>
                <w:rFonts w:ascii="Times New Roman" w:hAnsi="Times New Roman"/>
                <w:b w:val="0"/>
                <w:sz w:val="20"/>
              </w:rPr>
              <w:t>Cocreating injury prevention training for youth team handball: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Cognitive Factors in Elite Handball: Do Players' Positions Determine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50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Vienna Test System</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Comparing the Effects of Differential Learning, Self-Controlled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Differences in Decision-Making Behavior Between Elite and Amateur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Dynamic Interactive Model of Sport Motivation.</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Eslovênia</w:t>
            </w:r>
          </w:p>
        </w:tc>
        <w:tc>
          <w:tcPr>
            <w:tcW w:type="dxa" w:w="825"/>
          </w:tcPr>
          <w:p>
            <w:r/>
            <w:r>
              <w:rPr>
                <w:rFonts w:ascii="Times New Roman" w:hAnsi="Times New Roman"/>
                <w:b w:val="0"/>
                <w:sz w:val="20"/>
              </w:rPr>
              <w:t>189</w:t>
            </w:r>
          </w:p>
        </w:tc>
        <w:tc>
          <w:tcPr>
            <w:tcW w:type="dxa" w:w="825"/>
          </w:tcPr>
          <w:p>
            <w:r/>
            <w:r>
              <w:rPr>
                <w:rFonts w:ascii="Times New Roman" w:hAnsi="Times New Roman"/>
                <w:b w:val="0"/>
                <w:sz w:val="20"/>
              </w:rPr>
              <w:t>12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motivação;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Age and Expertise on Mental Representation of the Throwing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199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Arm Dominance and Decision Demands on Change of Direction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a notational analysis-based intervention on coaches'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coping e resiliência;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short-term betaine supplementation on muscle endurance and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Elite Players Invest Additional Time for Making Better Embodied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Evaluating the Quality of Life for People with Locomotor Disabilities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Evaluation of Age Based-Sleep Quality and Fitness in Adolescent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36</w:t>
            </w:r>
          </w:p>
        </w:tc>
        <w:tc>
          <w:tcPr>
            <w:tcW w:type="dxa" w:w="825"/>
          </w:tcPr>
          <w:p>
            <w:r/>
            <w:r>
              <w:rPr>
                <w:rFonts w:ascii="Times New Roman" w:hAnsi="Times New Roman"/>
                <w:b w:val="0"/>
                <w:sz w:val="20"/>
              </w:rPr>
              <w:t>44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PSQI; Epworth (ESS)</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nível 'jovem/base' incompatível com idade média de 44 anos; delineamento não declarado no resumo</w:t>
            </w:r>
          </w:p>
        </w:tc>
      </w:tr>
      <w:tr>
        <w:tc>
          <w:tcPr>
            <w:tcW w:type="dxa" w:w="825"/>
          </w:tcPr>
          <w:p>
            <w:r/>
            <w:r>
              <w:rPr>
                <w:rFonts w:ascii="Times New Roman" w:hAnsi="Times New Roman"/>
                <w:b w:val="0"/>
                <w:sz w:val="20"/>
              </w:rPr>
              <w:t>Exploring leadership behaviors of the coaches of champion teams.</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Exploring pre-impact landing kinematics associated with increase and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Favorable Adaptation during SARS-CoV-2-Pandemic as Told by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High Dose of Acute Normobaric Hypoxia Does Not Adversely Affect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Mental Toughness Characteristics of Male University Athletes in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140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MTQ-48</w:t>
            </w:r>
          </w:p>
        </w:tc>
        <w:tc>
          <w:tcPr>
            <w:tcW w:type="dxa" w:w="825"/>
          </w:tcPr>
          <w:p>
            <w:r/>
            <w:r>
              <w:rPr>
                <w:rFonts w:ascii="Times New Roman" w:hAnsi="Times New Roman"/>
                <w:b w:val="0"/>
                <w:sz w:val="20"/>
              </w:rPr>
              <w:t>coping e resiliência</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Mental skills in Serbian handball players: In relation to the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170</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coping e resiliência; motivação; personalidade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Notes from the Field: The Construction of a Logistical Model for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Personality profile of amateur team handball referees.</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582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Big Five (BFI / TIPI)</w:t>
            </w:r>
          </w:p>
        </w:tc>
        <w:tc>
          <w:tcPr>
            <w:tcW w:type="dxa" w:w="825"/>
          </w:tcPr>
          <w:p>
            <w:r/>
            <w:r>
              <w:rPr>
                <w:rFonts w:ascii="Times New Roman" w:hAnsi="Times New Roman"/>
                <w:b w:val="0"/>
                <w:sz w:val="20"/>
              </w:rPr>
              <w:t>personalidade</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Personality profile of team handball referees at expert level</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Big Five (BFI / TIPI)</w:t>
            </w:r>
          </w:p>
        </w:tc>
        <w:tc>
          <w:tcPr>
            <w:tcW w:type="dxa" w:w="825"/>
          </w:tcPr>
          <w:p>
            <w:r/>
            <w:r>
              <w:rPr>
                <w:rFonts w:ascii="Times New Roman" w:hAnsi="Times New Roman"/>
                <w:b w:val="0"/>
                <w:sz w:val="20"/>
              </w:rPr>
              <w:t>personalidade</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Pilot study on players' and coaches' motor and psychological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19</w:t>
            </w:r>
          </w:p>
        </w:tc>
        <w:tc>
          <w:tcPr>
            <w:tcW w:type="dxa" w:w="825"/>
          </w:tcPr>
          <w:p>
            <w:r/>
            <w:r>
              <w:rPr>
                <w:rFonts w:ascii="Times New Roman" w:hAnsi="Times New Roman"/>
                <w:b w:val="0"/>
                <w:sz w:val="20"/>
              </w:rPr>
              <w:t>8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Quase-experimental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Post-Exercise Cold- and Contrasting-Water Immersion Effects on Heart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Psychological Femininity and Masculinity and Motivation in Team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56</w:t>
            </w:r>
          </w:p>
        </w:tc>
        <w:tc>
          <w:tcPr>
            <w:tcW w:type="dxa" w:w="825"/>
          </w:tcPr>
          <w:p>
            <w:r/>
            <w:r>
              <w:rPr>
                <w:rFonts w:ascii="Times New Roman" w:hAnsi="Times New Roman"/>
                <w:b w:val="0"/>
                <w:sz w:val="20"/>
              </w:rPr>
              <w:t>19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Psychological skills for mental toughness in handball players</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Repeated cardiopulmonary performance measurements in young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37</w:t>
            </w:r>
          </w:p>
        </w:tc>
        <w:tc>
          <w:tcPr>
            <w:tcW w:type="dxa" w:w="825"/>
          </w:tcPr>
          <w:p>
            <w:r/>
            <w:r>
              <w:rPr>
                <w:rFonts w:ascii="Times New Roman" w:hAnsi="Times New Roman"/>
                <w:b w:val="0"/>
                <w:sz w:val="20"/>
              </w:rPr>
              <w:t>17.2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Coorte</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Stress Levels in Handball Coaching-Case Study: Preliminary Analysis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STAI</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Correlation between Psychological Characteristics and Psychomotor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Romênia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Effect of Psychological Skill Training Program and Positive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8</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Effect of Swimming on Blood Lactate and Sleep, after Intense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Functional Form of the Relationship between Body Height, Body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Impact of Implementing an Exergame Program on the Level of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Romênia</w:t>
            </w:r>
          </w:p>
        </w:tc>
        <w:tc>
          <w:tcPr>
            <w:tcW w:type="dxa" w:w="825"/>
          </w:tcPr>
          <w:p>
            <w:r/>
            <w:r>
              <w:rPr>
                <w:rFonts w:ascii="Times New Roman" w:hAnsi="Times New Roman"/>
                <w:b w:val="0"/>
                <w:sz w:val="20"/>
              </w:rPr>
              <w:t>360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Osgood-Schlatter disease: a large clinical series with evaluation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101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effect of music on short-term exercise performance during the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24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POMS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Varying Degrees of Perception-Action Coupling and Anticipation in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Verbal coping of coaches in competition: Differences depending on […]</w:t>
            </w:r>
          </w:p>
        </w:tc>
        <w:tc>
          <w:tcPr>
            <w:tcW w:type="dxa" w:w="825"/>
          </w:tcPr>
          <w:p>
            <w:r/>
            <w:r>
              <w:rPr>
                <w:rFonts w:ascii="Times New Roman" w:hAnsi="Times New Roman"/>
                <w:b w:val="0"/>
                <w:sz w:val="20"/>
              </w:rPr>
              <w:t>2022</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coping e resiliência;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 randomized crossover study on the effects of a custom-made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17.0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Adult outdoor group sport play during a pandemic: Feasibility,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Estados Unidos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Comparative Study of Efficacy of Muscle Energy Technique and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Comparing major joint injuries, interventions and late sequelae in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34</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idade média de 68 anos é implausível para a amostra; delineamento não declarado no resumo</w:t>
            </w:r>
          </w:p>
        </w:tc>
      </w:tr>
      <w:tr>
        <w:tc>
          <w:tcPr>
            <w:tcW w:type="dxa" w:w="825"/>
          </w:tcPr>
          <w:p>
            <w:r/>
            <w:r>
              <w:rPr>
                <w:rFonts w:ascii="Times New Roman" w:hAnsi="Times New Roman"/>
                <w:b w:val="0"/>
                <w:sz w:val="20"/>
              </w:rPr>
              <w:t>Comparison of Anxiety and Narcissism Levels of Different Performance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59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motivação;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Eating Disorders in Top Elite Beach Handball Players: Cross Sectional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EAT-26 / imagem corporal</w:t>
            </w:r>
          </w:p>
        </w:tc>
        <w:tc>
          <w:tcPr>
            <w:tcW w:type="dxa" w:w="825"/>
          </w:tcPr>
          <w:p>
            <w:r/>
            <w:r>
              <w:rPr>
                <w:rFonts w:ascii="Times New Roman" w:hAnsi="Times New Roman"/>
                <w:b w:val="0"/>
                <w:sz w:val="20"/>
              </w:rPr>
              <w:t>burnout e saúde mental</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 of Different Sports Practice on Sleep Quality and Quality of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65</w:t>
            </w:r>
          </w:p>
        </w:tc>
        <w:tc>
          <w:tcPr>
            <w:tcW w:type="dxa" w:w="825"/>
          </w:tcPr>
          <w:p>
            <w:r/>
            <w:r>
              <w:rPr>
                <w:rFonts w:ascii="Times New Roman" w:hAnsi="Times New Roman"/>
                <w:b w:val="0"/>
                <w:sz w:val="20"/>
              </w:rPr>
              <w:t>15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 of Ramadan intermittent fasting on cognitive, physical and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Tunísia</w:t>
            </w:r>
          </w:p>
        </w:tc>
        <w:tc>
          <w:tcPr>
            <w:tcW w:type="dxa" w:w="825"/>
          </w:tcPr>
          <w:p>
            <w:r/>
            <w:r>
              <w:rPr>
                <w:rFonts w:ascii="Times New Roman" w:hAnsi="Times New Roman"/>
                <w:b w:val="0"/>
                <w:sz w:val="20"/>
              </w:rPr>
              <w:t>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Epworth (ESS); Índice de Hooper</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Commitment on Fear of Failure and Burnout in Teen Spanish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250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Home Confinement on the Intensity of Physical Activity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Catar</w:t>
            </w:r>
          </w:p>
        </w:tc>
        <w:tc>
          <w:tcPr>
            <w:tcW w:type="dxa" w:w="825"/>
          </w:tcPr>
          <w:p>
            <w:r/>
            <w:r>
              <w:rPr>
                <w:rFonts w:ascii="Times New Roman" w:hAnsi="Times New Roman"/>
                <w:b w:val="0"/>
                <w:sz w:val="20"/>
              </w:rPr>
              <w:t>1359</w:t>
            </w:r>
          </w:p>
        </w:tc>
        <w:tc>
          <w:tcPr>
            <w:tcW w:type="dxa" w:w="825"/>
          </w:tcPr>
          <w:p>
            <w:r/>
            <w:r>
              <w:rPr>
                <w:rFonts w:ascii="Times New Roman" w:hAnsi="Times New Roman"/>
                <w:b w:val="0"/>
                <w:sz w:val="20"/>
              </w:rPr>
              <w:t>23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Engaging Minority Girls in Organized Youth Sport in Norway: A Case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Exploring the Effect of Long Naps on Handball Performance and Heart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11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PSQI</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COACH MATCH STRESS RESPONSES: A PRELIMINARY STUDY</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STAI</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in school: teaching of defensive contents.</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Impact of intrinsic motivation on competitive anxiety among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37</w:t>
            </w:r>
          </w:p>
        </w:tc>
        <w:tc>
          <w:tcPr>
            <w:tcW w:type="dxa" w:w="825"/>
          </w:tcPr>
          <w:p>
            <w:r/>
            <w:r>
              <w:rPr>
                <w:rFonts w:ascii="Times New Roman" w:hAnsi="Times New Roman"/>
                <w:b w:val="0"/>
                <w:sz w:val="20"/>
              </w:rPr>
              <w:t>18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SAS / SAS-2; IMI</w:t>
            </w:r>
          </w:p>
        </w:tc>
        <w:tc>
          <w:tcPr>
            <w:tcW w:type="dxa" w:w="825"/>
          </w:tcPr>
          <w:p>
            <w:r/>
            <w:r>
              <w:rPr>
                <w:rFonts w:ascii="Times New Roman" w:hAnsi="Times New Roman"/>
                <w:b w:val="0"/>
                <w:sz w:val="20"/>
              </w:rPr>
              <w:t>ansiedade e estresse; 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Incidence of injury and pain in referees in German national handball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Coorte</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Injuries in Japanese university handball: a study among 1017 players.</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1017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Injury-related fear in athletes returning to sports after anterior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16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KNEE INJURIES PREVALENCE IN BRAZILIAN JIU-JITSU: EPIDEMIOLOGICAL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659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No Evidence of Systematic Change of Physical Activity Patterns Before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508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humor e afeto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Occupational specifics of elite female handball players in relation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Eslovênia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26.3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Prevalence of eating disorders on male team sports players.</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165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EAT-26 / imagem corporal</w:t>
            </w:r>
          </w:p>
        </w:tc>
        <w:tc>
          <w:tcPr>
            <w:tcW w:type="dxa" w:w="825"/>
          </w:tcPr>
          <w:p>
            <w:r/>
            <w:r>
              <w:rPr>
                <w:rFonts w:ascii="Times New Roman" w:hAnsi="Times New Roman"/>
                <w:b w:val="0"/>
                <w:sz w:val="20"/>
              </w:rPr>
              <w:t>burnout e saúde mental</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Profiles of motivation, fear of failure and anxiety in young handball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CSAI-2 / CSAI-2R; SMS (Sport Motivation Scale)</w:t>
            </w:r>
          </w:p>
        </w:tc>
        <w:tc>
          <w:tcPr>
            <w:tcW w:type="dxa" w:w="825"/>
          </w:tcPr>
          <w:p>
            <w:r/>
            <w:r>
              <w:rPr>
                <w:rFonts w:ascii="Times New Roman" w:hAnsi="Times New Roman"/>
                <w:b w:val="0"/>
                <w:sz w:val="20"/>
              </w:rPr>
              <w:t>ansiedade e estresse; 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Psychosocial factors and eating behaviors according to the stages of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Coreia do Sul</w:t>
            </w:r>
          </w:p>
        </w:tc>
        <w:tc>
          <w:tcPr>
            <w:tcW w:type="dxa" w:w="825"/>
          </w:tcPr>
          <w:p>
            <w:r/>
            <w:r>
              <w:rPr>
                <w:rFonts w:ascii="Times New Roman" w:hAnsi="Times New Roman"/>
                <w:b w:val="0"/>
                <w:sz w:val="20"/>
              </w:rPr>
              <w:t>167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Quality of Life and Associated Factors Among Male Wheelchair Handball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105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Resilience in Sports: Sport Type, Gender, Age and Sport Level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1047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Escala de resiliência</w:t>
            </w:r>
          </w:p>
        </w:tc>
        <w:tc>
          <w:tcPr>
            <w:tcW w:type="dxa" w:w="825"/>
          </w:tcPr>
          <w:p>
            <w:r/>
            <w:r>
              <w:rPr>
                <w:rFonts w:ascii="Times New Roman" w:hAnsi="Times New Roman"/>
                <w:b w:val="0"/>
                <w:sz w:val="20"/>
              </w:rPr>
              <w:t>coping e resiliência</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Self-reported sports injuries and later-life health status in 3357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Reino Unido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Significance of extended sports cardiology screening of elite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Hungria</w:t>
            </w:r>
          </w:p>
        </w:tc>
        <w:tc>
          <w:tcPr>
            <w:tcW w:type="dxa" w:w="825"/>
          </w:tcPr>
          <w:p>
            <w:r/>
            <w:r>
              <w:rPr>
                <w:rFonts w:ascii="Times New Roman" w:hAnsi="Times New Roman"/>
                <w:b w:val="0"/>
                <w:sz w:val="20"/>
              </w:rPr>
              <w:t>27</w:t>
            </w:r>
          </w:p>
        </w:tc>
        <w:tc>
          <w:tcPr>
            <w:tcW w:type="dxa" w:w="825"/>
          </w:tcPr>
          <w:p>
            <w:r/>
            <w:r>
              <w:rPr>
                <w:rFonts w:ascii="Times New Roman" w:hAnsi="Times New Roman"/>
                <w:b w:val="0"/>
                <w:sz w:val="20"/>
              </w:rPr>
              <w:t>29.6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Sleep facilitates anticipation training of a handball goalkeeping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Impact of an Authentic Sports Leadership Program for Coach.</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70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cognição e atenção; 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Influence of Customized Mouthguards on the Muscular Activity of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idade média de 83 anos é implausível para a amostra; delineamento não declarado no resumo</w:t>
            </w:r>
          </w:p>
        </w:tc>
      </w:tr>
      <w:tr>
        <w:tc>
          <w:tcPr>
            <w:tcW w:type="dxa" w:w="825"/>
          </w:tcPr>
          <w:p>
            <w:r/>
            <w:r>
              <w:rPr>
                <w:rFonts w:ascii="Times New Roman" w:hAnsi="Times New Roman"/>
                <w:b w:val="0"/>
                <w:sz w:val="20"/>
              </w:rPr>
              <w:t>The Relationship Between Reactive Agility and Change of Direction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Well-being, physical fitness and health profile of 10-12 years old […]</w:t>
            </w:r>
          </w:p>
        </w:tc>
        <w:tc>
          <w:tcPr>
            <w:tcW w:type="dxa" w:w="825"/>
          </w:tcPr>
          <w:p>
            <w:r/>
            <w:r>
              <w:rPr>
                <w:rFonts w:ascii="Times New Roman" w:hAnsi="Times New Roman"/>
                <w:b w:val="0"/>
                <w:sz w:val="20"/>
              </w:rPr>
              <w:t>2021</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2293</w:t>
            </w:r>
          </w:p>
        </w:tc>
        <w:tc>
          <w:tcPr>
            <w:tcW w:type="dxa" w:w="825"/>
          </w:tcPr>
          <w:p>
            <w:r/>
            <w:r>
              <w:rPr>
                <w:rFonts w:ascii="Times New Roman" w:hAnsi="Times New Roman"/>
                <w:b w:val="0"/>
                <w:sz w:val="20"/>
              </w:rPr>
              <w:t>12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Adults Want to Play Too: Feasibility of an Adult Physical Activity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Appreciating Factors Beyond the Physical in Talent Identification and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Reino Unido</w:t>
            </w:r>
          </w:p>
        </w:tc>
        <w:tc>
          <w:tcPr>
            <w:tcW w:type="dxa" w:w="825"/>
          </w:tcPr>
          <w:p>
            <w:r/>
            <w:r>
              <w:rPr>
                <w:rFonts w:ascii="Times New Roman" w:hAnsi="Times New Roman"/>
                <w:b w:val="0"/>
                <w:sz w:val="20"/>
              </w:rPr>
              <w:t>999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Association between competitive anxiety, hardiness, and coping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22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Benefits of Physiotherapy on Urinary Incontinence in High-Performance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Determination of the psychological resilience levels of handball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 of 8-week of dietary micronutrient supplementation on gene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32</w:t>
            </w:r>
          </w:p>
        </w:tc>
        <w:tc>
          <w:tcPr>
            <w:tcW w:type="dxa" w:w="825"/>
          </w:tcPr>
          <w:p>
            <w:r/>
            <w:r>
              <w:rPr>
                <w:rFonts w:ascii="Times New Roman" w:hAnsi="Times New Roman"/>
                <w:b w:val="0"/>
                <w:sz w:val="20"/>
              </w:rPr>
              <w:t>22.9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Motivational Climate on Fear of Failure and Anxiety in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250</w:t>
            </w:r>
          </w:p>
        </w:tc>
        <w:tc>
          <w:tcPr>
            <w:tcW w:type="dxa" w:w="825"/>
          </w:tcPr>
          <w:p>
            <w:r/>
            <w:r>
              <w:rPr>
                <w:rFonts w:ascii="Times New Roman" w:hAnsi="Times New Roman"/>
                <w:b w:val="0"/>
                <w:sz w:val="20"/>
              </w:rPr>
              <w:t>17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CSAI-2 / CSAI-2R; PMCSQ</w:t>
            </w:r>
          </w:p>
        </w:tc>
        <w:tc>
          <w:tcPr>
            <w:tcW w:type="dxa" w:w="825"/>
          </w:tcPr>
          <w:p>
            <w:r/>
            <w:r>
              <w:rPr>
                <w:rFonts w:ascii="Times New Roman" w:hAnsi="Times New Roman"/>
                <w:b w:val="0"/>
                <w:sz w:val="20"/>
              </w:rPr>
              <w:t>ansiedade e estresse; 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Evaluation of Psychological Skills and Effect of an Educational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Evaluation of the Pre-Planned and Non-Planed Agility Performance: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41</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idade média de 58 anos é implausível para a amostra; delineamento não declarado no resumo</w:t>
            </w:r>
          </w:p>
        </w:tc>
      </w:tr>
      <w:tr>
        <w:tc>
          <w:tcPr>
            <w:tcW w:type="dxa" w:w="825"/>
          </w:tcPr>
          <w:p>
            <w:r/>
            <w:r>
              <w:rPr>
                <w:rFonts w:ascii="Times New Roman" w:hAnsi="Times New Roman"/>
                <w:b w:val="0"/>
                <w:sz w:val="20"/>
              </w:rPr>
              <w:t>Group Differences and Similarities in Mental Representation Structure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Hand-eye coordination, movement reaction time and hand tactile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121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Hot and Cool Executive Function in Elite- and Amateur- Adolescent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86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coping e resiliência; motivação;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Intermittent Pneumatic Compression and Cold Water Immersion Effects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Investigation of Body Awareness Level and Performance Emotional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humor e afeto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Mindfulness and Self-Regulation Strategies Predict Performance of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Romênia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Motor competence is not enough: Handedness does not facilitate visual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Nitrogen Balance in Female Japanese National Handball Players During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Japão</w:t>
            </w:r>
          </w:p>
        </w:tc>
        <w:tc>
          <w:tcPr>
            <w:tcW w:type="dxa" w:w="825"/>
          </w:tcPr>
          <w:p>
            <w:r/>
            <w:r>
              <w:rPr>
                <w:rFonts w:ascii="Times New Roman" w:hAnsi="Times New Roman"/>
                <w:b w:val="0"/>
                <w:sz w:val="20"/>
              </w:rPr>
              <w:t>11</w:t>
            </w:r>
          </w:p>
        </w:tc>
        <w:tc>
          <w:tcPr>
            <w:tcW w:type="dxa" w:w="825"/>
          </w:tcPr>
          <w:p>
            <w:r/>
            <w:r>
              <w:rPr>
                <w:rFonts w:ascii="Times New Roman" w:hAnsi="Times New Roman"/>
                <w:b w:val="0"/>
                <w:sz w:val="20"/>
              </w:rPr>
              <w:t>26.9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Not scene learning, but attentional processing is superior in team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984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Planning injury prevention training for youth handball players: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Predicting Visual-Motor Performance in a Reactive Agility Task from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157</w:t>
            </w:r>
          </w:p>
        </w:tc>
        <w:tc>
          <w:tcPr>
            <w:tcW w:type="dxa" w:w="825"/>
          </w:tcPr>
          <w:p>
            <w:r/>
            <w:r>
              <w:rPr>
                <w:rFonts w:ascii="Times New Roman" w:hAnsi="Times New Roman"/>
                <w:b w:val="0"/>
                <w:sz w:val="20"/>
              </w:rPr>
              <w:t>13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Psychological Distress and Problem Gambling in Elite Athletes during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327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Resilient Resources in Youth Athletes and Their Relationship with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160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CSAI-2 / CSAI-2R; Escala de resiliência</w:t>
            </w:r>
          </w:p>
        </w:tc>
        <w:tc>
          <w:tcPr>
            <w:tcW w:type="dxa" w:w="825"/>
          </w:tcPr>
          <w:p>
            <w:r/>
            <w:r>
              <w:rPr>
                <w:rFonts w:ascii="Times New Roman" w:hAnsi="Times New Roman"/>
                <w:b w:val="0"/>
                <w:sz w:val="20"/>
              </w:rPr>
              <w:t>ansiedade e estresse; coping e resiliência</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Return-To-Play Decision Making in Team Sports Athletes. A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Sports and Functional Training Improve a Subset of Obesity-Related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43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humor e afeto;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Impact of Covid-19 and the Effect of Psychological Factors on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187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humor e afeto; motivação; personalidade;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Referee as an Educator: Assessment of the Quality of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25</w:t>
            </w:r>
          </w:p>
        </w:tc>
        <w:tc>
          <w:tcPr>
            <w:tcW w:type="dxa" w:w="825"/>
          </w:tcPr>
          <w:p>
            <w:r/>
            <w:r>
              <w:rPr>
                <w:rFonts w:ascii="Times New Roman" w:hAnsi="Times New Roman"/>
                <w:b w:val="0"/>
                <w:sz w:val="20"/>
              </w:rPr>
              <w:t>9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humor e afeto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Well-Being and Throwing Speed of Women Handball Players Affected by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humor e afeto;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Whole purple grape juice increases nitric oxide production after […]</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8</w:t>
            </w:r>
          </w:p>
        </w:tc>
        <w:tc>
          <w:tcPr>
            <w:tcW w:type="dxa" w:w="825"/>
          </w:tcPr>
          <w:p>
            <w:r/>
            <w:r>
              <w:rPr>
                <w:rFonts w:ascii="Times New Roman" w:hAnsi="Times New Roman"/>
                <w:b w:val="0"/>
                <w:sz w:val="20"/>
              </w:rPr>
              <w:t>28.7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shoulder" in the focus of diagnosis and treatment].</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[Monitoring and load management in team handball].</w:t>
            </w:r>
          </w:p>
        </w:tc>
        <w:tc>
          <w:tcPr>
            <w:tcW w:type="dxa" w:w="825"/>
          </w:tcPr>
          <w:p>
            <w:r/>
            <w:r>
              <w:rPr>
                <w:rFonts w:ascii="Times New Roman" w:hAnsi="Times New Roman"/>
                <w:b w:val="0"/>
                <w:sz w:val="20"/>
              </w:rPr>
              <w:t>2020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Analysis of the Prediction of Motivational Climate in Handball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479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Transversal-descritivo</w:t>
            </w:r>
          </w:p>
        </w:tc>
        <w:tc>
          <w:tcPr>
            <w:tcW w:type="dxa" w:w="825"/>
          </w:tcPr>
          <w:p>
            <w:r/>
            <w:r>
              <w:rPr>
                <w:rFonts w:ascii="Times New Roman" w:hAnsi="Times New Roman"/>
                <w:b w:val="0"/>
                <w:sz w:val="20"/>
              </w:rPr>
              <w:t>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Anxiety in Athletes: Gender and Type of Sport Differences.</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601</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idade média de 47 anos é implausível para a amostra; delineamento não declarado no resumo</w:t>
            </w:r>
          </w:p>
        </w:tc>
      </w:tr>
      <w:tr>
        <w:tc>
          <w:tcPr>
            <w:tcW w:type="dxa" w:w="825"/>
          </w:tcPr>
          <w:p>
            <w:r/>
            <w:r>
              <w:rPr>
                <w:rFonts w:ascii="Times New Roman" w:hAnsi="Times New Roman"/>
                <w:b w:val="0"/>
                <w:sz w:val="20"/>
              </w:rPr>
              <w:t>Attitudes, beliefs, and behavior toward shoulder injury prevention in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Changes in different salivary biomarkers related to physiologic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32</w:t>
            </w:r>
          </w:p>
        </w:tc>
        <w:tc>
          <w:tcPr>
            <w:tcW w:type="dxa" w:w="825"/>
          </w:tcPr>
          <w:p>
            <w:r/>
            <w:r>
              <w:rPr>
                <w:rFonts w:ascii="Times New Roman" w:hAnsi="Times New Roman"/>
                <w:b w:val="0"/>
                <w:sz w:val="20"/>
              </w:rPr>
              <w:t>23.0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Contextual Factors and Decision-Making in the Behavior of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Correlation between muscular injuries and stress in handball athletes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RESTQ-Sport</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Compression Tights on Recovery Parameters after Exercise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19</w:t>
            </w:r>
          </w:p>
        </w:tc>
        <w:tc>
          <w:tcPr>
            <w:tcW w:type="dxa" w:w="825"/>
          </w:tcPr>
          <w:p>
            <w:r/>
            <w:r>
              <w:rPr>
                <w:rFonts w:ascii="Times New Roman" w:hAnsi="Times New Roman"/>
                <w:b w:val="0"/>
                <w:sz w:val="20"/>
              </w:rPr>
              <w:t>31.3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Transcranial Direct Current Stimulation of Primary Motor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46</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idade média de 0 anos é implausível para a amostra; delineamento não declarado no resumo</w:t>
            </w:r>
          </w:p>
        </w:tc>
      </w:tr>
      <w:tr>
        <w:tc>
          <w:tcPr>
            <w:tcW w:type="dxa" w:w="825"/>
          </w:tcPr>
          <w:p>
            <w:r/>
            <w:r>
              <w:rPr>
                <w:rFonts w:ascii="Times New Roman" w:hAnsi="Times New Roman"/>
                <w:b w:val="0"/>
                <w:sz w:val="20"/>
              </w:rPr>
              <w:t>Effects of a Motivational Climate on Psychological Needs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Itália</w:t>
            </w:r>
          </w:p>
        </w:tc>
        <w:tc>
          <w:tcPr>
            <w:tcW w:type="dxa" w:w="825"/>
          </w:tcPr>
          <w:p>
            <w:r/>
            <w:r>
              <w:rPr>
                <w:rFonts w:ascii="Times New Roman" w:hAnsi="Times New Roman"/>
                <w:b w:val="0"/>
                <w:sz w:val="20"/>
              </w:rPr>
              <w:t>250</w:t>
            </w:r>
          </w:p>
        </w:tc>
        <w:tc>
          <w:tcPr>
            <w:tcW w:type="dxa" w:w="825"/>
          </w:tcPr>
          <w:p>
            <w:r/>
            <w:r>
              <w:rPr>
                <w:rFonts w:ascii="Times New Roman" w:hAnsi="Times New Roman"/>
                <w:b w:val="0"/>
                <w:sz w:val="20"/>
              </w:rPr>
              <w:t>17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SMS (Sport Motivation Scale); 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the psychological stress, fatigue, muscle damage and rest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Facilitators to support the implementation of injury prevention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Suécia</w:t>
            </w:r>
          </w:p>
        </w:tc>
        <w:tc>
          <w:tcPr>
            <w:tcW w:type="dxa" w:w="825"/>
          </w:tcPr>
          <w:p>
            <w:r/>
            <w:r>
              <w:rPr>
                <w:rFonts w:ascii="Times New Roman" w:hAnsi="Times New Roman"/>
                <w:b w:val="0"/>
                <w:sz w:val="20"/>
              </w:rPr>
              <w:t>196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coesão e grupo;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Factores psicosociales que contribuyen al éxito deportivo de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Gender differences in competitive anxiety and coping strategies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Goalkeeper Intuitive Decision-Making: A Naturalistic Case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n = 2013 coincide com ano-calendário; conferir no texto</w:t>
            </w:r>
          </w:p>
        </w:tc>
      </w:tr>
      <w:tr>
        <w:tc>
          <w:tcPr>
            <w:tcW w:type="dxa" w:w="825"/>
          </w:tcPr>
          <w:p>
            <w:r/>
            <w:r>
              <w:rPr>
                <w:rFonts w:ascii="Times New Roman" w:hAnsi="Times New Roman"/>
                <w:b w:val="0"/>
                <w:sz w:val="20"/>
              </w:rPr>
              <w:t>Mixed Methods in Decision-Making Through Polar Coordinate Technique: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Passing Network Analysis of Positional Attack Formations in Handball.</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Prevalence of back pain in a group of elite athletes exposed to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181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Coorte</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Psychological Profile, Competitive Anxiety, Moods and Self-Efficacy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95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CSAI-2 / CSAI-2R; Escala de autoeficácia geral; POMS</w:t>
            </w:r>
          </w:p>
        </w:tc>
        <w:tc>
          <w:tcPr>
            <w:tcW w:type="dxa" w:w="825"/>
          </w:tcPr>
          <w:p>
            <w:r/>
            <w:r>
              <w:rPr>
                <w:rFonts w:ascii="Times New Roman" w:hAnsi="Times New Roman"/>
                <w:b w:val="0"/>
                <w:sz w:val="20"/>
              </w:rPr>
              <w:t>ansiedade e estresse; autoeficácia e confiança; humor e afeto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Psychomotor Abilities of Professional Handball Players.</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Polônia</w:t>
            </w:r>
          </w:p>
        </w:tc>
        <w:tc>
          <w:tcPr>
            <w:tcW w:type="dxa" w:w="825"/>
          </w:tcPr>
          <w:p>
            <w:r/>
            <w:r>
              <w:rPr>
                <w:rFonts w:ascii="Times New Roman" w:hAnsi="Times New Roman"/>
                <w:b w:val="0"/>
                <w:sz w:val="20"/>
              </w:rPr>
              <w:t>40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RECIPROCITY BETWEEN GOAL ORIENTATION AND MOTIVATIONAL CLIMATE IN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TEOSQ; 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Study on the relationship between quality of life and shoulder trauma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Impact of the Method of Teaching the Mediator Different Speed and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Influence of Feedback on Competence, Motivation, Vitality, and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Variations of perceived load and well-being between normal and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Estudo de caso</w:t>
            </w:r>
          </w:p>
        </w:tc>
        <w:tc>
          <w:tcPr>
            <w:tcW w:type="dxa" w:w="825"/>
          </w:tcPr>
          <w:p>
            <w:r/>
            <w:r>
              <w:rPr>
                <w:rFonts w:ascii="Times New Roman" w:hAnsi="Times New Roman"/>
                <w:b w:val="0"/>
                <w:sz w:val="20"/>
              </w:rPr>
              <w:t>Índice de Hooper</w:t>
            </w:r>
          </w:p>
        </w:tc>
        <w:tc>
          <w:tcPr>
            <w:tcW w:type="dxa" w:w="825"/>
          </w:tcPr>
          <w:p>
            <w:r/>
            <w:r>
              <w:rPr>
                <w:rFonts w:ascii="Times New Roman" w:hAnsi="Times New Roman"/>
                <w:b w:val="0"/>
                <w:sz w:val="20"/>
              </w:rPr>
              <w:t>sono e recuperação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What drives athletes toward dietary supplement use: objective […]</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912</w:t>
            </w:r>
          </w:p>
        </w:tc>
        <w:tc>
          <w:tcPr>
            <w:tcW w:type="dxa" w:w="825"/>
          </w:tcPr>
          <w:p>
            <w:r/>
            <w:r>
              <w:rPr>
                <w:rFonts w:ascii="Times New Roman" w:hAnsi="Times New Roman"/>
                <w:b w:val="0"/>
                <w:sz w:val="20"/>
              </w:rPr>
              <w:t>11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[Management of related contact sport mTBI].</w:t>
            </w:r>
          </w:p>
        </w:tc>
        <w:tc>
          <w:tcPr>
            <w:tcW w:type="dxa" w:w="825"/>
          </w:tcPr>
          <w:p>
            <w:r/>
            <w:r>
              <w:rPr>
                <w:rFonts w:ascii="Times New Roman" w:hAnsi="Times New Roman"/>
                <w:b w:val="0"/>
                <w:sz w:val="20"/>
              </w:rPr>
              <w:t>2019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 Bayesian Approach to Sport Injuries Likelihood: Does Player's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297</w:t>
            </w:r>
          </w:p>
        </w:tc>
        <w:tc>
          <w:tcPr>
            <w:tcW w:type="dxa" w:w="825"/>
          </w:tcPr>
          <w:p>
            <w:r/>
            <w:r>
              <w:rPr>
                <w:rFonts w:ascii="Times New Roman" w:hAnsi="Times New Roman"/>
                <w:b w:val="0"/>
                <w:sz w:val="20"/>
              </w:rPr>
              <w:t>38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coping e resiliência;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 Preventive Model for Muscle Injuries: A Novel Approach based on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132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cognição e atenção;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Autonomy support, perceived motivational climate and psychological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Diurnal Variations in Physical Performance: Are there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Fitness and health benefits of team handball training for young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Ensaio randomizado controlado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motivação;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Handball coaches' orientation. Influence of gender, age, experience,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63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INTER SEASON PHYSIOLOGICAL CONTROL OF THE BRAZILIAN BEACH HANDBALL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27.1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POMS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Mental fatigue does not affect heart rate recovery but impairs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12</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Caso-controle</w:t>
            </w:r>
          </w:p>
        </w:tc>
        <w:tc>
          <w:tcPr>
            <w:tcW w:type="dxa" w:w="825"/>
          </w:tcPr>
          <w:p>
            <w:r/>
            <w:r>
              <w:rPr>
                <w:rFonts w:ascii="Times New Roman" w:hAnsi="Times New Roman"/>
                <w:b w:val="0"/>
                <w:sz w:val="20"/>
              </w:rPr>
              <w:t>Stroop</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idade média de 50 anos é implausível para a amostra</w:t>
            </w:r>
          </w:p>
        </w:tc>
      </w:tr>
      <w:tr>
        <w:tc>
          <w:tcPr>
            <w:tcW w:type="dxa" w:w="825"/>
          </w:tcPr>
          <w:p>
            <w:r/>
            <w:r>
              <w:rPr>
                <w:rFonts w:ascii="Times New Roman" w:hAnsi="Times New Roman"/>
                <w:b w:val="0"/>
                <w:sz w:val="20"/>
              </w:rPr>
              <w:t>Motivational Climate Sport Youth Scale: Measurement Invariance Across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569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Motivational orientations and performance in penalty throws during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PREPARING A PRACTICAL EXPERIENCE FOR STATISTICS LEARNING IN HEALTH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Prevalence and risk of sport types to stress urinary incontinence in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Psychological skills, mental toughness and anxiety in elite handball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Return to pivoting sport after ACL reconstruction: association with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258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Successful and unsuccessful transitions to the elite level: The youth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Symptoms of Anxiety and Depression in Young Athletes Using the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376</w:t>
            </w:r>
          </w:p>
        </w:tc>
        <w:tc>
          <w:tcPr>
            <w:tcW w:type="dxa" w:w="825"/>
          </w:tcPr>
          <w:p>
            <w:r/>
            <w:r>
              <w:rPr>
                <w:rFonts w:ascii="Times New Roman" w:hAnsi="Times New Roman"/>
                <w:b w:val="0"/>
                <w:sz w:val="20"/>
              </w:rPr>
              <w:t>14.3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burnout e saúde mental;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Syzygium cumini Nectar Supplementation Reduced Biomarkers of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13</w:t>
            </w:r>
          </w:p>
        </w:tc>
        <w:tc>
          <w:tcPr>
            <w:tcW w:type="dxa" w:w="825"/>
          </w:tcPr>
          <w:p>
            <w:r/>
            <w:r>
              <w:rPr>
                <w:rFonts w:ascii="Times New Roman" w:hAnsi="Times New Roman"/>
                <w:b w:val="0"/>
                <w:sz w:val="20"/>
              </w:rPr>
              <w:t>18.6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POMS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Tactical knowledge of handball players considering time of practice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Importance of the Coach in Predicting Implicit Beliefs about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Relationship Between Handball Players and Alcohol and Smoking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151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Validity of the SMS, Phone, and medical staff Examination sports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[Comparison of pelvic floor muscle strength in competition-level […]</w:t>
            </w:r>
          </w:p>
        </w:tc>
        <w:tc>
          <w:tcPr>
            <w:tcW w:type="dxa" w:w="825"/>
          </w:tcPr>
          <w:p>
            <w:r/>
            <w:r>
              <w:rPr>
                <w:rFonts w:ascii="Times New Roman" w:hAnsi="Times New Roman"/>
                <w:b w:val="0"/>
                <w:sz w:val="20"/>
              </w:rPr>
              <w:t>2018</w:t>
            </w:r>
          </w:p>
        </w:tc>
        <w:tc>
          <w:tcPr>
            <w:tcW w:type="dxa" w:w="825"/>
          </w:tcPr>
          <w:p>
            <w:r/>
            <w:r>
              <w:rPr>
                <w:rFonts w:ascii="Times New Roman" w:hAnsi="Times New Roman"/>
                <w:b w:val="0"/>
                <w:sz w:val="20"/>
              </w:rPr>
              <w:t>Islândia</w:t>
            </w:r>
          </w:p>
        </w:tc>
        <w:tc>
          <w:tcPr>
            <w:tcW w:type="dxa" w:w="825"/>
          </w:tcPr>
          <w:p>
            <w:r/>
            <w:r>
              <w:rPr>
                <w:rFonts w:ascii="Times New Roman" w:hAnsi="Times New Roman"/>
                <w:b w:val="0"/>
                <w:sz w:val="20"/>
              </w:rPr>
              <w:t>18</w:t>
            </w:r>
          </w:p>
        </w:tc>
        <w:tc>
          <w:tcPr>
            <w:tcW w:type="dxa" w:w="825"/>
          </w:tcPr>
          <w:p>
            <w:r/>
            <w:r>
              <w:rPr>
                <w:rFonts w:ascii="Times New Roman" w:hAnsi="Times New Roman"/>
                <w:b w:val="0"/>
                <w:sz w:val="20"/>
              </w:rPr>
              <w:t>18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A structural Model of Self-efficacy in Handball Referees.</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Itália</w:t>
            </w:r>
          </w:p>
        </w:tc>
        <w:tc>
          <w:tcPr>
            <w:tcW w:type="dxa" w:w="825"/>
          </w:tcPr>
          <w:p>
            <w:r/>
            <w:r>
              <w:rPr>
                <w:rFonts w:ascii="Times New Roman" w:hAnsi="Times New Roman"/>
                <w:b w:val="0"/>
                <w:sz w:val="20"/>
              </w:rPr>
              <w:t>248</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autoeficácia e confiança; burnout e saúde mental; cognição e atenção; coping e resiliência; humor e afeto; motivação; sono e recuperação (a confirmar no texto)</w:t>
            </w:r>
          </w:p>
        </w:tc>
        <w:tc>
          <w:tcPr>
            <w:tcW w:type="dxa" w:w="825"/>
          </w:tcPr>
          <w:p>
            <w:r/>
            <w:r>
              <w:rPr>
                <w:rFonts w:ascii="Times New Roman" w:hAnsi="Times New Roman"/>
                <w:b w:val="0"/>
                <w:sz w:val="20"/>
              </w:rPr>
              <w:t>idade média de 55 anos é implausível para a amostra; delineamento não declarado no resumo</w:t>
            </w:r>
          </w:p>
        </w:tc>
      </w:tr>
      <w:tr>
        <w:tc>
          <w:tcPr>
            <w:tcW w:type="dxa" w:w="825"/>
          </w:tcPr>
          <w:p>
            <w:r/>
            <w:r>
              <w:rPr>
                <w:rFonts w:ascii="Times New Roman" w:hAnsi="Times New Roman"/>
                <w:b w:val="0"/>
                <w:sz w:val="20"/>
              </w:rPr>
              <w:t>Decision-Making by Handball Referees: Design of an ad hoc Observation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Developmental tasks and well-being in adolescent elite athletes in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Does Context, Practice or Competition affect Female Athletes'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4</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Warming Up With Music on Moods and Training Motivation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Effects of Warming up with Music on Moods and Training Motivation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Handball load and shoulder injury rate: a 31-week cohort study of 679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679</w:t>
            </w:r>
          </w:p>
        </w:tc>
        <w:tc>
          <w:tcPr>
            <w:tcW w:type="dxa" w:w="825"/>
          </w:tcPr>
          <w:p>
            <w:r/>
            <w:r>
              <w:rPr>
                <w:rFonts w:ascii="Times New Roman" w:hAnsi="Times New Roman"/>
                <w:b w:val="0"/>
                <w:sz w:val="20"/>
              </w:rPr>
              <w:t>18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Coorte</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Hypermobility in Adolescent Athletes: Pain, Functional Ability,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57</w:t>
            </w:r>
          </w:p>
        </w:tc>
        <w:tc>
          <w:tcPr>
            <w:tcW w:type="dxa" w:w="825"/>
          </w:tcPr>
          <w:p>
            <w:r/>
            <w:r>
              <w:rPr>
                <w:rFonts w:ascii="Times New Roman" w:hAnsi="Times New Roman"/>
                <w:b w:val="0"/>
                <w:sz w:val="20"/>
              </w:rPr>
              <w:t>14.0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Importance of the Motivational Climate in Goal, Enjoyment, and the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159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PMCSQ</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Influence of increasing knee flexion angle on knee-ankle varus stress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Knee function among elite handball and football players 1-6 years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1556</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idade média de 3.5 anos é implausível para a amostra; delineamento não declarado no resumo</w:t>
            </w:r>
          </w:p>
        </w:tc>
      </w:tr>
      <w:tr>
        <w:tc>
          <w:tcPr>
            <w:tcW w:type="dxa" w:w="825"/>
          </w:tcPr>
          <w:p>
            <w:r/>
            <w:r>
              <w:rPr>
                <w:rFonts w:ascii="Times New Roman" w:hAnsi="Times New Roman"/>
                <w:b w:val="0"/>
                <w:sz w:val="20"/>
              </w:rPr>
              <w:t>Long-Term Prognostic Validity of Talent Selections: Comparing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68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 estado de humor e a insatisfação corporal possuem relação com os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BRUMS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Physical and Physiological Demands of Recreational Team Handball for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28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amador/recreacional</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Polymorphisms in ACE and ACTN3 Genes and Blood Pressure Response to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Preparatory training attenuates drastic response of the insulin-like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17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Relation between peak knee flexion angle and knee ankle kinetics in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Arábia Saudita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22.6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Piloto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Responses of low and high compression during recovery after repeated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Symptoms of common mental disorders and related stressors in Danish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Holanda</w:t>
            </w:r>
          </w:p>
        </w:tc>
        <w:tc>
          <w:tcPr>
            <w:tcW w:type="dxa" w:w="825"/>
          </w:tcPr>
          <w:p>
            <w:r/>
            <w:r>
              <w:rPr>
                <w:rFonts w:ascii="Times New Roman" w:hAnsi="Times New Roman"/>
                <w:b w:val="0"/>
                <w:sz w:val="20"/>
              </w:rPr>
              <w:t>1155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Teaching handball to players under-12: the perspective of Brazilian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Young female handball players and sport specialisation: how do they […]</w:t>
            </w:r>
          </w:p>
        </w:tc>
        <w:tc>
          <w:tcPr>
            <w:tcW w:type="dxa" w:w="825"/>
          </w:tcPr>
          <w:p>
            <w:r/>
            <w:r>
              <w:rPr>
                <w:rFonts w:ascii="Times New Roman" w:hAnsi="Times New Roman"/>
                <w:b w:val="0"/>
                <w:sz w:val="20"/>
              </w:rPr>
              <w:t>2017</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3</w:t>
            </w:r>
          </w:p>
        </w:tc>
        <w:tc>
          <w:tcPr>
            <w:tcW w:type="dxa" w:w="825"/>
          </w:tcPr>
          <w:p>
            <w:r/>
            <w:r>
              <w:rPr>
                <w:rFonts w:ascii="Times New Roman" w:hAnsi="Times New Roman"/>
                <w:b w:val="0"/>
                <w:sz w:val="20"/>
              </w:rPr>
              <w:t>13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Athlete Burnout and the Risk of Dropout Among Young Elite Handball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458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motivação; sono e recuperação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Athlete Characteristics and Team Competitive Performance as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336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Domain-Specific and Unspecific Reaction Times in Experienced Team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Fatigue on Throwing Performance in Experienced Team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20</w:t>
            </w:r>
          </w:p>
        </w:tc>
        <w:tc>
          <w:tcPr>
            <w:tcW w:type="dxa" w:w="825"/>
          </w:tcPr>
          <w:p>
            <w:r/>
            <w:r>
              <w:rPr>
                <w:rFonts w:ascii="Times New Roman" w:hAnsi="Times New Roman"/>
                <w:b w:val="0"/>
                <w:sz w:val="20"/>
              </w:rPr>
              <w:t>24.7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domain-specific exercise load on speed and accuracy of a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Exploring the interaction of physical exercise load and pattern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68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 emprego do biofeedback como estratégia de manejo do estresse e da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CSAI-2 / CSAI-2R</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Optimizing rating scales of the big five socialization scale in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225</w:t>
            </w:r>
          </w:p>
        </w:tc>
        <w:tc>
          <w:tcPr>
            <w:tcW w:type="dxa" w:w="825"/>
          </w:tcPr>
          <w:p>
            <w:r/>
            <w:r>
              <w:rPr>
                <w:rFonts w:ascii="Times New Roman" w:hAnsi="Times New Roman"/>
                <w:b w:val="0"/>
                <w:sz w:val="20"/>
              </w:rPr>
              <w:t>45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Perceptual-cognitive expertise of handball coaches in their young and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Psychological effects of immobilization on performance athletes</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DASS-21</w:t>
            </w:r>
          </w:p>
        </w:tc>
        <w:tc>
          <w:tcPr>
            <w:tcW w:type="dxa" w:w="825"/>
          </w:tcPr>
          <w:p>
            <w:r/>
            <w:r>
              <w:rPr>
                <w:rFonts w:ascii="Times New Roman" w:hAnsi="Times New Roman"/>
                <w:b w:val="0"/>
                <w:sz w:val="20"/>
              </w:rPr>
              <w:t>burnout e saúde mental</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relationsship between the sports psychological profile and […]</w:t>
            </w:r>
          </w:p>
        </w:tc>
        <w:tc>
          <w:tcPr>
            <w:tcW w:type="dxa" w:w="825"/>
          </w:tcPr>
          <w:p>
            <w:r/>
            <w:r>
              <w:rPr>
                <w:rFonts w:ascii="Times New Roman" w:hAnsi="Times New Roman"/>
                <w:b w:val="0"/>
                <w:sz w:val="20"/>
              </w:rPr>
              <w:t>2016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 team fares well with a fair coach: Predictors of social loafing in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Bélgica</w:t>
            </w:r>
          </w:p>
        </w:tc>
        <w:tc>
          <w:tcPr>
            <w:tcW w:type="dxa" w:w="825"/>
          </w:tcPr>
          <w:p>
            <w:r/>
            <w:r>
              <w:rPr>
                <w:rFonts w:ascii="Times New Roman" w:hAnsi="Times New Roman"/>
                <w:b w:val="0"/>
                <w:sz w:val="20"/>
              </w:rPr>
              <w:t>259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Accuracy of Outcome Anticipation, But Not Gaze Behavior, Differs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Analysis of saliva by Fourier transform infrared spectroscopy for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Comparison of inflammatory responses and muscle damage indices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Grécia</w:t>
            </w:r>
          </w:p>
        </w:tc>
        <w:tc>
          <w:tcPr>
            <w:tcW w:type="dxa" w:w="825"/>
          </w:tcPr>
          <w:p>
            <w:r/>
            <w:r>
              <w:rPr>
                <w:rFonts w:ascii="Times New Roman" w:hAnsi="Times New Roman"/>
                <w:b w:val="0"/>
                <w:sz w:val="20"/>
              </w:rPr>
              <w:t>18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Mood effects on memory and executive control in a real-life situation.</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Suíça</w:t>
            </w:r>
          </w:p>
        </w:tc>
        <w:tc>
          <w:tcPr>
            <w:tcW w:type="dxa" w:w="825"/>
          </w:tcPr>
          <w:p>
            <w:r/>
            <w:r>
              <w:rPr>
                <w:rFonts w:ascii="Times New Roman" w:hAnsi="Times New Roman"/>
                <w:b w:val="0"/>
                <w:sz w:val="20"/>
              </w:rPr>
              <w:t>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humor e afeto;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Motivational cues predict the defensive system in team handball: A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PRE-COMPETITIVE ANXIETY AND SPORT: STUDY WITH COLLEGE ATHLETES</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SCAT</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idade média de 72 anos é implausível para a amostra; delineamento não declarado no resumo</w:t>
            </w:r>
          </w:p>
        </w:tc>
      </w:tr>
      <w:tr>
        <w:tc>
          <w:tcPr>
            <w:tcW w:type="dxa" w:w="825"/>
          </w:tcPr>
          <w:p>
            <w:r/>
            <w:r>
              <w:rPr>
                <w:rFonts w:ascii="Times New Roman" w:hAnsi="Times New Roman"/>
                <w:b w:val="0"/>
                <w:sz w:val="20"/>
              </w:rPr>
              <w:t>Physiological, psychometric, and performance effects of the Christmas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Sensitivity of monthly heart rate and psychometric measures for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POMS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Simultaneous bilateral tibial stress fractures in a handball player.</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Trait Anxiety and Coping Strategies in Aerobic Gymnastics and Handball</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[Athletic performance, self-esteem and temperamental profile : Which […]</w:t>
            </w:r>
          </w:p>
        </w:tc>
        <w:tc>
          <w:tcPr>
            <w:tcW w:type="dxa" w:w="825"/>
          </w:tcPr>
          <w:p>
            <w:r/>
            <w:r>
              <w:rPr>
                <w:rFonts w:ascii="Times New Roman" w:hAnsi="Times New Roman"/>
                <w:b w:val="0"/>
                <w:sz w:val="20"/>
              </w:rPr>
              <w:t>2015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Rosenberg (RSES)</w:t>
            </w:r>
          </w:p>
        </w:tc>
        <w:tc>
          <w:tcPr>
            <w:tcW w:type="dxa" w:w="825"/>
          </w:tcPr>
          <w:p>
            <w:r/>
            <w:r>
              <w:rPr>
                <w:rFonts w:ascii="Times New Roman" w:hAnsi="Times New Roman"/>
                <w:b w:val="0"/>
                <w:sz w:val="20"/>
              </w:rPr>
              <w:t>autoeficácia e confiança</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"The margin for error": Ritual coping with cultural pressures.</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 microcycle of inflammation following a team handball game.</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Grécia</w:t>
            </w:r>
          </w:p>
        </w:tc>
        <w:tc>
          <w:tcPr>
            <w:tcW w:type="dxa" w:w="825"/>
          </w:tcPr>
          <w:p>
            <w:r/>
            <w:r>
              <w:rPr>
                <w:rFonts w:ascii="Times New Roman" w:hAnsi="Times New Roman"/>
                <w:b w:val="0"/>
                <w:sz w:val="20"/>
              </w:rPr>
              <w:t>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Assessment of secondary school students' game performance related to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Atrial functional and geometrical remodeling in highly trained male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Attributes of top elite team-handball players.</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126</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Correlação Entre Resistência Anaeróbia e Estados de Humor ao Longo de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POMS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Decision-Making during Games by Professional Handball Coaches Using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a summer treatment program on functional sports outcomes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Estados Unidos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burnout e saúde mental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Health in elite sports from a salutogenetic perspective: athletes'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698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Transversal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sono e recuperação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Illegal performance enhancing drugs and doping in sport: a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43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Motivation, Satisfaction, and Behavioral Intentions: Segmenting Youth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242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Oxidative stress and total antioxidant capacity in handball players.</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Irã</w:t>
            </w:r>
          </w:p>
        </w:tc>
        <w:tc>
          <w:tcPr>
            <w:tcW w:type="dxa" w:w="825"/>
          </w:tcPr>
          <w:p>
            <w:r/>
            <w:r>
              <w:rPr>
                <w:rFonts w:ascii="Times New Roman" w:hAnsi="Times New Roman"/>
                <w:b w:val="0"/>
                <w:sz w:val="20"/>
              </w:rPr>
              <w:t>15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Perceived distributed effort in team ball sports.</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effects of a global postural reeducation program on an adolescent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Validity of internal structure of the Competitive State Anxiety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CSAI-2 / CSAI-2R</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idade média de 58 anos é implausível para a amostra; delineamento não declarado no resumo</w:t>
            </w:r>
          </w:p>
        </w:tc>
      </w:tr>
      <w:tr>
        <w:tc>
          <w:tcPr>
            <w:tcW w:type="dxa" w:w="825"/>
          </w:tcPr>
          <w:p>
            <w:r/>
            <w:r>
              <w:rPr>
                <w:rFonts w:ascii="Times New Roman" w:hAnsi="Times New Roman"/>
                <w:b w:val="0"/>
                <w:sz w:val="20"/>
              </w:rPr>
              <w:t>[Intraobserver reliability of the Handball-specific complex test […]</w:t>
            </w:r>
          </w:p>
        </w:tc>
        <w:tc>
          <w:tcPr>
            <w:tcW w:type="dxa" w:w="825"/>
          </w:tcPr>
          <w:p>
            <w:r/>
            <w:r>
              <w:rPr>
                <w:rFonts w:ascii="Times New Roman" w:hAnsi="Times New Roman"/>
                <w:b w:val="0"/>
                <w:sz w:val="20"/>
              </w:rPr>
              <w:t>2014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30</w:t>
            </w:r>
          </w:p>
        </w:tc>
        <w:tc>
          <w:tcPr>
            <w:tcW w:type="dxa" w:w="825"/>
          </w:tcPr>
          <w:p>
            <w:r/>
            <w:r>
              <w:rPr>
                <w:rFonts w:ascii="Times New Roman" w:hAnsi="Times New Roman"/>
                <w:b w:val="0"/>
                <w:sz w:val="20"/>
              </w:rPr>
              <w:t>25.7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"Whom should I pass to?" the more options the more attentional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Acceptance of gamesmanship and cheating in young competitive athletes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70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Activation of self-focus and self-presentation traits under private,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120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Assessment of pelvic floor muscle pressure in female athletes.</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Changes in the redox status and inflammatory response in handball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Coach-initiated motivational climate and cohesion in youth sport.</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Canadá</w:t>
            </w:r>
          </w:p>
        </w:tc>
        <w:tc>
          <w:tcPr>
            <w:tcW w:type="dxa" w:w="825"/>
          </w:tcPr>
          <w:p>
            <w:r/>
            <w:r>
              <w:rPr>
                <w:rFonts w:ascii="Times New Roman" w:hAnsi="Times New Roman"/>
                <w:b w:val="0"/>
                <w:sz w:val="20"/>
              </w:rPr>
              <w:t>997</w:t>
            </w:r>
          </w:p>
        </w:tc>
        <w:tc>
          <w:tcPr>
            <w:tcW w:type="dxa" w:w="825"/>
          </w:tcPr>
          <w:p>
            <w:r/>
            <w:r>
              <w:rPr>
                <w:rFonts w:ascii="Times New Roman" w:hAnsi="Times New Roman"/>
                <w:b w:val="0"/>
                <w:sz w:val="20"/>
              </w:rPr>
              <w:t>26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coesão e grupo; motivação (a confirmar no texto)</w:t>
            </w:r>
          </w:p>
        </w:tc>
        <w:tc>
          <w:tcPr>
            <w:tcW w:type="dxa" w:w="825"/>
          </w:tcPr>
          <w:p>
            <w:r/>
            <w:r>
              <w:rPr>
                <w:rFonts w:ascii="Times New Roman" w:hAnsi="Times New Roman"/>
                <w:b w:val="0"/>
                <w:sz w:val="20"/>
              </w:rPr>
              <w:t>nível 'jovem/base' incompatível com idade média de 26 anos; delineamento não declarado no resumo</w:t>
            </w:r>
          </w:p>
        </w:tc>
      </w:tr>
      <w:tr>
        <w:tc>
          <w:tcPr>
            <w:tcW w:type="dxa" w:w="825"/>
          </w:tcPr>
          <w:p>
            <w:r/>
            <w:r>
              <w:rPr>
                <w:rFonts w:ascii="Times New Roman" w:hAnsi="Times New Roman"/>
                <w:b w:val="0"/>
                <w:sz w:val="20"/>
              </w:rPr>
              <w:t>GENERAL SELF-EFFICACY, PRECOMPETITIVE ANXIETY AND FEELING TO FLOW IN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Escala de autoeficácia geral</w:t>
            </w:r>
          </w:p>
        </w:tc>
        <w:tc>
          <w:tcPr>
            <w:tcW w:type="dxa" w:w="825"/>
          </w:tcPr>
          <w:p>
            <w:r/>
            <w:r>
              <w:rPr>
                <w:rFonts w:ascii="Times New Roman" w:hAnsi="Times New Roman"/>
                <w:b w:val="0"/>
                <w:sz w:val="20"/>
              </w:rPr>
              <w:t>autoeficácia e confiança</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Information underpinning anticipation of goal-directed throwing.</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Reino Unido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Oxidative stress and antioxidant status response of handball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Longitudinal</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Relação entre estado nutricional, adiposidade corporal, percepção de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EAT-26 / imagem corporal</w:t>
            </w:r>
          </w:p>
        </w:tc>
        <w:tc>
          <w:tcPr>
            <w:tcW w:type="dxa" w:w="825"/>
          </w:tcPr>
          <w:p>
            <w:r/>
            <w:r>
              <w:rPr>
                <w:rFonts w:ascii="Times New Roman" w:hAnsi="Times New Roman"/>
                <w:b w:val="0"/>
                <w:sz w:val="20"/>
              </w:rPr>
              <w:t>burnout e saúde mental</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Importance of Parents' Behavior in their Children's Enjoyment and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723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Styles of Coping with Stress in Team and Individual Athletes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1092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influence of referees' expertise, gender, motivation, and time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145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influence of somatotype components and personality traits on the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70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tale of hearts and reason: the influence of mood on decision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humor e afeto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[What are the recommendations for sport activity following total hip […]</w:t>
            </w:r>
          </w:p>
        </w:tc>
        <w:tc>
          <w:tcPr>
            <w:tcW w:type="dxa" w:w="825"/>
          </w:tcPr>
          <w:p>
            <w:r/>
            <w:r>
              <w:rPr>
                <w:rFonts w:ascii="Times New Roman" w:hAnsi="Times New Roman"/>
                <w:b w:val="0"/>
                <w:sz w:val="20"/>
              </w:rPr>
              <w:t>2013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 conferir</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idade média de 65 anos é implausível para a amostra; nível 'jovem/base' incompatível com idade média de 65 anos; delineamento não declarado no resumo</w:t>
            </w:r>
          </w:p>
        </w:tc>
      </w:tr>
      <w:tr>
        <w:tc>
          <w:tcPr>
            <w:tcW w:type="dxa" w:w="825"/>
          </w:tcPr>
          <w:p>
            <w:r/>
            <w:r>
              <w:rPr>
                <w:rFonts w:ascii="Times New Roman" w:hAnsi="Times New Roman"/>
                <w:b w:val="0"/>
                <w:sz w:val="20"/>
              </w:rPr>
              <w:t>Changes in athlete's redox state induced by habitual and unaccustomed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19.1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Changes in lymphocyte HSP70 levels in women handball players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24 anos</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nível 'jovem/base' incompatível com idade média de 24 anos; delineamento não declarado no resumo</w:t>
            </w:r>
          </w:p>
        </w:tc>
      </w:tr>
      <w:tr>
        <w:tc>
          <w:tcPr>
            <w:tcW w:type="dxa" w:w="825"/>
          </w:tcPr>
          <w:p>
            <w:r/>
            <w:r>
              <w:rPr>
                <w:rFonts w:ascii="Times New Roman" w:hAnsi="Times New Roman"/>
                <w:b w:val="0"/>
                <w:sz w:val="20"/>
              </w:rPr>
              <w:t>Comment on "Cytokines and oxidative stress status following a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Effects of creatine supplementation on oxidative stress profile of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Injury risk in Danish youth and senior elite handball using a new SMS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517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Coorte</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Network approaches for expert decisions in sports.</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Teste de tomada de decisão em vídeo</w:t>
            </w:r>
          </w:p>
        </w:tc>
        <w:tc>
          <w:tcPr>
            <w:tcW w:type="dxa" w:w="825"/>
          </w:tcPr>
          <w:p>
            <w:r/>
            <w:r>
              <w:rPr>
                <w:rFonts w:ascii="Times New Roman" w:hAnsi="Times New Roman"/>
                <w:b w:val="0"/>
                <w:sz w:val="20"/>
              </w:rPr>
              <w:t>cognição e atenção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Perceptual training methods compared: the relative efficacy of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Austrália</w:t>
            </w:r>
          </w:p>
        </w:tc>
        <w:tc>
          <w:tcPr>
            <w:tcW w:type="dxa" w:w="825"/>
          </w:tcPr>
          <w:p>
            <w:r/>
            <w:r>
              <w:rPr>
                <w:rFonts w:ascii="Times New Roman" w:hAnsi="Times New Roman"/>
                <w:b w:val="0"/>
                <w:sz w:val="20"/>
              </w:rPr>
              <w:t>60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cognição e atenção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Periodontal nitric oxide pathway alteration due to precompetition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CSAI-2 / CSAI-2R</w:t>
            </w:r>
          </w:p>
        </w:tc>
        <w:tc>
          <w:tcPr>
            <w:tcW w:type="dxa" w:w="825"/>
          </w:tcPr>
          <w:p>
            <w:r/>
            <w:r>
              <w:rPr>
                <w:rFonts w:ascii="Times New Roman" w:hAnsi="Times New Roman"/>
                <w:b w:val="0"/>
                <w:sz w:val="20"/>
              </w:rPr>
              <w:t>ansiedade e estresse</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[State of nutrition and diet habits versus estradiol level and its […]</w:t>
            </w:r>
          </w:p>
        </w:tc>
        <w:tc>
          <w:tcPr>
            <w:tcW w:type="dxa" w:w="825"/>
          </w:tcPr>
          <w:p>
            <w:r/>
            <w:r>
              <w:rPr>
                <w:rFonts w:ascii="Times New Roman" w:hAnsi="Times New Roman"/>
                <w:b w:val="0"/>
                <w:sz w:val="20"/>
              </w:rPr>
              <w:t>2012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 implicit basis for the retention benefits of random practice.</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Austrália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Body image, perceived and actual physical abilities in normal-weight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Itália</w:t>
            </w:r>
          </w:p>
        </w:tc>
        <w:tc>
          <w:tcPr>
            <w:tcW w:type="dxa" w:w="825"/>
          </w:tcPr>
          <w:p>
            <w:r/>
            <w:r>
              <w:rPr>
                <w:rFonts w:ascii="Times New Roman" w:hAnsi="Times New Roman"/>
                <w:b w:val="0"/>
                <w:sz w:val="20"/>
              </w:rPr>
              <w:t>85</w:t>
            </w:r>
          </w:p>
        </w:tc>
        <w:tc>
          <w:tcPr>
            <w:tcW w:type="dxa" w:w="825"/>
          </w:tcPr>
          <w:p>
            <w:r/>
            <w:r>
              <w:rPr>
                <w:rFonts w:ascii="Times New Roman" w:hAnsi="Times New Roman"/>
                <w:b w:val="0"/>
                <w:sz w:val="20"/>
              </w:rPr>
              <w:t>12.6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Pre-pos (intervencao)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Cytokines and oxidative stress status following a handball game in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Brasil</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Handball coaches' perceptions about the value of working competences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Portugal</w:t>
            </w:r>
          </w:p>
        </w:tc>
        <w:tc>
          <w:tcPr>
            <w:tcW w:type="dxa" w:w="825"/>
          </w:tcPr>
          <w:p>
            <w:r/>
            <w:r>
              <w:rPr>
                <w:rFonts w:ascii="Times New Roman" w:hAnsi="Times New Roman"/>
                <w:b w:val="0"/>
                <w:sz w:val="20"/>
              </w:rPr>
              <w:t>207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PROUD TO BE A CROAT - NATIONAL IDENTITY AND SPORTS IN THE ADVERTISING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nacional/semiprofissional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German Young Olympic Athletes' Lifestyle and Health Management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24</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burnout e saúde mental; 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influence of training status on oxidative stress in young male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Sérvia</w:t>
            </w:r>
          </w:p>
        </w:tc>
        <w:tc>
          <w:tcPr>
            <w:tcW w:type="dxa" w:w="825"/>
          </w:tcPr>
          <w:p>
            <w:r/>
            <w:r>
              <w:rPr>
                <w:rFonts w:ascii="Times New Roman" w:hAnsi="Times New Roman"/>
                <w:b w:val="0"/>
                <w:sz w:val="20"/>
              </w:rPr>
              <w:t>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USE OF ICT IN THE DEVELOPMENT OF PERCEPTION AND ANALYSIS CAPACITY IN […]</w:t>
            </w:r>
          </w:p>
        </w:tc>
        <w:tc>
          <w:tcPr>
            <w:tcW w:type="dxa" w:w="825"/>
          </w:tcPr>
          <w:p>
            <w:r/>
            <w:r>
              <w:rPr>
                <w:rFonts w:ascii="Times New Roman" w:hAnsi="Times New Roman"/>
                <w:b w:val="0"/>
                <w:sz w:val="20"/>
              </w:rPr>
              <w:t>2011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21</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Features manifestations of personality traits in male handball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humor e afeto; personalidade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Influence of early environmental constraints on achievement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Monitoring biological and psychological measures throughout an entire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14</w:t>
            </w:r>
          </w:p>
        </w:tc>
        <w:tc>
          <w:tcPr>
            <w:tcW w:type="dxa" w:w="825"/>
          </w:tcPr>
          <w:p>
            <w:r/>
            <w:r>
              <w:rPr>
                <w:rFonts w:ascii="Times New Roman" w:hAnsi="Times New Roman"/>
                <w:b w:val="0"/>
                <w:sz w:val="20"/>
              </w:rPr>
              <w:t>20.1 anos</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POMS</w:t>
            </w:r>
          </w:p>
        </w:tc>
        <w:tc>
          <w:tcPr>
            <w:tcW w:type="dxa" w:w="825"/>
          </w:tcPr>
          <w:p>
            <w:r/>
            <w:r>
              <w:rPr>
                <w:rFonts w:ascii="Times New Roman" w:hAnsi="Times New Roman"/>
                <w:b w:val="0"/>
                <w:sz w:val="20"/>
              </w:rPr>
              <w:t>humor e afeto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Motivational cluster profiles of adolescent athletes: an examination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80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SMS (Sport Motivation Scale); PSPP</w:t>
            </w:r>
          </w:p>
        </w:tc>
        <w:tc>
          <w:tcPr>
            <w:tcW w:type="dxa" w:w="825"/>
          </w:tcPr>
          <w:p>
            <w:r/>
            <w:r>
              <w:rPr>
                <w:rFonts w:ascii="Times New Roman" w:hAnsi="Times New Roman"/>
                <w:b w:val="0"/>
                <w:sz w:val="20"/>
              </w:rPr>
              <w:t>autoeficácia e confiança; motivação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Relationship between reasons for practicing and sportpersonship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127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STUDY OF SOMATOSENSORY EVOKED POTENTIAL PARAMETERS IN PROFESSIONAL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Young elite athletes and social support: coping with competitive and […]</w:t>
            </w:r>
          </w:p>
        </w:tc>
        <w:tc>
          <w:tcPr>
            <w:tcW w:type="dxa" w:w="825"/>
          </w:tcPr>
          <w:p>
            <w:r/>
            <w:r>
              <w:rPr>
                <w:rFonts w:ascii="Times New Roman" w:hAnsi="Times New Roman"/>
                <w:b w:val="0"/>
                <w:sz w:val="20"/>
              </w:rPr>
              <w:t>2010</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29</w:t>
            </w:r>
          </w:p>
        </w:tc>
        <w:tc>
          <w:tcPr>
            <w:tcW w:type="dxa" w:w="825"/>
          </w:tcPr>
          <w:p>
            <w:r/>
            <w:r>
              <w:rPr>
                <w:rFonts w:ascii="Times New Roman" w:hAnsi="Times New Roman"/>
                <w:b w:val="0"/>
                <w:sz w:val="20"/>
              </w:rPr>
              <w:t>14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CART-Q</w:t>
            </w:r>
          </w:p>
        </w:tc>
        <w:tc>
          <w:tcPr>
            <w:tcW w:type="dxa" w:w="825"/>
          </w:tcPr>
          <w:p>
            <w:r/>
            <w:r>
              <w:rPr>
                <w:rFonts w:ascii="Times New Roman" w:hAnsi="Times New Roman"/>
                <w:b w:val="0"/>
                <w:sz w:val="20"/>
              </w:rPr>
              <w:t>coesão e grupo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An exploratory study of aging and perceptual-motor expertise in […]</w:t>
            </w:r>
          </w:p>
        </w:tc>
        <w:tc>
          <w:tcPr>
            <w:tcW w:type="dxa" w:w="825"/>
          </w:tcPr>
          <w:p>
            <w:r/>
            <w:r>
              <w:rPr>
                <w:rFonts w:ascii="Times New Roman" w:hAnsi="Times New Roman"/>
                <w:b w:val="0"/>
                <w:sz w:val="20"/>
              </w:rPr>
              <w:t>2009</w:t>
            </w:r>
          </w:p>
        </w:tc>
        <w:tc>
          <w:tcPr>
            <w:tcW w:type="dxa" w:w="825"/>
          </w:tcPr>
          <w:p>
            <w:r/>
            <w:r>
              <w:rPr>
                <w:rFonts w:ascii="Times New Roman" w:hAnsi="Times New Roman"/>
                <w:b w:val="0"/>
                <w:sz w:val="20"/>
              </w:rPr>
              <w:t>Alemanha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Grape extract improves antioxidant status and physical performance in […]</w:t>
            </w:r>
          </w:p>
        </w:tc>
        <w:tc>
          <w:tcPr>
            <w:tcW w:type="dxa" w:w="825"/>
          </w:tcPr>
          <w:p>
            <w:r/>
            <w:r>
              <w:rPr>
                <w:rFonts w:ascii="Times New Roman" w:hAnsi="Times New Roman"/>
                <w:b w:val="0"/>
                <w:sz w:val="20"/>
              </w:rPr>
              <w:t>2009</w:t>
            </w:r>
          </w:p>
        </w:tc>
        <w:tc>
          <w:tcPr>
            <w:tcW w:type="dxa" w:w="825"/>
          </w:tcPr>
          <w:p>
            <w:r/>
            <w:r>
              <w:rPr>
                <w:rFonts w:ascii="Times New Roman" w:hAnsi="Times New Roman"/>
                <w:b w:val="0"/>
                <w:sz w:val="20"/>
              </w:rPr>
              <w:t>França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masculino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Randomizado</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(a confirmar no texto)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Multiple-choice reaction and visual perception in female and male […]</w:t>
            </w:r>
          </w:p>
        </w:tc>
        <w:tc>
          <w:tcPr>
            <w:tcW w:type="dxa" w:w="825"/>
          </w:tcPr>
          <w:p>
            <w:r/>
            <w:r>
              <w:rPr>
                <w:rFonts w:ascii="Times New Roman" w:hAnsi="Times New Roman"/>
                <w:b w:val="0"/>
                <w:sz w:val="20"/>
              </w:rPr>
              <w:t>2009</w:t>
            </w:r>
          </w:p>
        </w:tc>
        <w:tc>
          <w:tcPr>
            <w:tcW w:type="dxa" w:w="825"/>
          </w:tcPr>
          <w:p>
            <w:r/>
            <w:r>
              <w:rPr>
                <w:rFonts w:ascii="Times New Roman" w:hAnsi="Times New Roman"/>
                <w:b w:val="0"/>
                <w:sz w:val="20"/>
              </w:rPr>
              <w:t>Turquia</w:t>
            </w:r>
          </w:p>
        </w:tc>
        <w:tc>
          <w:tcPr>
            <w:tcW w:type="dxa" w:w="825"/>
          </w:tcPr>
          <w:p>
            <w:r/>
            <w:r>
              <w:rPr>
                <w:rFonts w:ascii="Times New Roman" w:hAnsi="Times New Roman"/>
                <w:b w:val="0"/>
                <w:sz w:val="20"/>
              </w:rPr>
              <w:t>49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cognição e atenção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[The first epidemiologic survey among Hungarian elite athletes: […]</w:t>
            </w:r>
          </w:p>
        </w:tc>
        <w:tc>
          <w:tcPr>
            <w:tcW w:type="dxa" w:w="825"/>
          </w:tcPr>
          <w:p>
            <w:r/>
            <w:r>
              <w:rPr>
                <w:rFonts w:ascii="Times New Roman" w:hAnsi="Times New Roman"/>
                <w:b w:val="0"/>
                <w:sz w:val="20"/>
              </w:rPr>
              <w:t>2009</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22 anos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Perceived ability and social support as mediators of achievement […]</w:t>
            </w:r>
          </w:p>
        </w:tc>
        <w:tc>
          <w:tcPr>
            <w:tcW w:type="dxa" w:w="825"/>
          </w:tcPr>
          <w:p>
            <w:r/>
            <w:r>
              <w:rPr>
                <w:rFonts w:ascii="Times New Roman" w:hAnsi="Times New Roman"/>
                <w:b w:val="0"/>
                <w:sz w:val="20"/>
              </w:rPr>
              <w:t>2008</w:t>
            </w:r>
          </w:p>
        </w:tc>
        <w:tc>
          <w:tcPr>
            <w:tcW w:type="dxa" w:w="825"/>
          </w:tcPr>
          <w:p>
            <w:r/>
            <w:r>
              <w:rPr>
                <w:rFonts w:ascii="Times New Roman" w:hAnsi="Times New Roman"/>
                <w:b w:val="0"/>
                <w:sz w:val="20"/>
              </w:rPr>
              <w:t>Noruega</w:t>
            </w:r>
          </w:p>
        </w:tc>
        <w:tc>
          <w:tcPr>
            <w:tcW w:type="dxa" w:w="825"/>
          </w:tcPr>
          <w:p>
            <w:r/>
            <w:r>
              <w:rPr>
                <w:rFonts w:ascii="Times New Roman" w:hAnsi="Times New Roman"/>
                <w:b w:val="0"/>
                <w:sz w:val="20"/>
              </w:rPr>
              <w:t>143</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ansiedade e estresse;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Relations entre orientations motivationnelles et burnout : une étude […]</w:t>
            </w:r>
          </w:p>
        </w:tc>
        <w:tc>
          <w:tcPr>
            <w:tcW w:type="dxa" w:w="825"/>
          </w:tcPr>
          <w:p>
            <w:r/>
            <w:r>
              <w:rPr>
                <w:rFonts w:ascii="Times New Roman" w:hAnsi="Times New Roman"/>
                <w:b w:val="0"/>
                <w:sz w:val="20"/>
              </w:rPr>
              <w:t>2008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burnout e saúde mental; 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Sport commitment and relationship with dispositional and situational […]</w:t>
            </w:r>
          </w:p>
        </w:tc>
        <w:tc>
          <w:tcPr>
            <w:tcW w:type="dxa" w:w="825"/>
          </w:tcPr>
          <w:p>
            <w:r/>
            <w:r>
              <w:rPr>
                <w:rFonts w:ascii="Times New Roman" w:hAnsi="Times New Roman"/>
                <w:b w:val="0"/>
                <w:sz w:val="20"/>
              </w:rPr>
              <w:t>2008</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16 anos</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Balance index score as a predictive factor for lower sports results […]</w:t>
            </w:r>
          </w:p>
        </w:tc>
        <w:tc>
          <w:tcPr>
            <w:tcW w:type="dxa" w:w="825"/>
          </w:tcPr>
          <w:p>
            <w:r/>
            <w:r>
              <w:rPr>
                <w:rFonts w:ascii="Times New Roman" w:hAnsi="Times New Roman"/>
                <w:b w:val="0"/>
                <w:sz w:val="20"/>
              </w:rPr>
              <w:t>2007</w:t>
            </w:r>
          </w:p>
        </w:tc>
        <w:tc>
          <w:tcPr>
            <w:tcW w:type="dxa" w:w="825"/>
          </w:tcPr>
          <w:p>
            <w:r/>
            <w:r>
              <w:rPr>
                <w:rFonts w:ascii="Times New Roman" w:hAnsi="Times New Roman"/>
                <w:b w:val="0"/>
                <w:sz w:val="20"/>
              </w:rPr>
              <w:t>Croácia</w:t>
            </w:r>
          </w:p>
        </w:tc>
        <w:tc>
          <w:tcPr>
            <w:tcW w:type="dxa" w:w="825"/>
          </w:tcPr>
          <w:p>
            <w:r/>
            <w:r>
              <w:rPr>
                <w:rFonts w:ascii="Times New Roman" w:hAnsi="Times New Roman"/>
                <w:b w:val="0"/>
                <w:sz w:val="20"/>
              </w:rPr>
              <w:t>2</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motivação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Building and Communicating Collective Efficacy: A Season-Long […]</w:t>
            </w:r>
          </w:p>
        </w:tc>
        <w:tc>
          <w:tcPr>
            <w:tcW w:type="dxa" w:w="825"/>
          </w:tcPr>
          <w:p>
            <w:r/>
            <w:r>
              <w:rPr>
                <w:rFonts w:ascii="Times New Roman" w:hAnsi="Times New Roman"/>
                <w:b w:val="0"/>
                <w:sz w:val="20"/>
              </w:rPr>
              <w:t>2007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autoeficácia e confiança; coesão e grupo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"Voices of the broken body." The resumption of non-professional […]</w:t>
            </w:r>
          </w:p>
        </w:tc>
        <w:tc>
          <w:tcPr>
            <w:tcW w:type="dxa" w:w="825"/>
          </w:tcPr>
          <w:p>
            <w:r/>
            <w:r>
              <w:rPr>
                <w:rFonts w:ascii="Times New Roman" w:hAnsi="Times New Roman"/>
                <w:b w:val="0"/>
                <w:sz w:val="20"/>
              </w:rPr>
              <w:t>2006</w:t>
            </w:r>
          </w:p>
        </w:tc>
        <w:tc>
          <w:tcPr>
            <w:tcW w:type="dxa" w:w="825"/>
          </w:tcPr>
          <w:p>
            <w:r/>
            <w:r>
              <w:rPr>
                <w:rFonts w:ascii="Times New Roman" w:hAnsi="Times New Roman"/>
                <w:b w:val="0"/>
                <w:sz w:val="20"/>
              </w:rPr>
              <w:t>Dinamarca</w:t>
            </w:r>
          </w:p>
        </w:tc>
        <w:tc>
          <w:tcPr>
            <w:tcW w:type="dxa" w:w="825"/>
          </w:tcPr>
          <w:p>
            <w:r/>
            <w:r>
              <w:rPr>
                <w:rFonts w:ascii="Times New Roman" w:hAnsi="Times New Roman"/>
                <w:b w:val="0"/>
                <w:sz w:val="20"/>
              </w:rPr>
              <w:t>17</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feminino</w:t>
            </w:r>
          </w:p>
        </w:tc>
        <w:tc>
          <w:tcPr>
            <w:tcW w:type="dxa" w:w="825"/>
          </w:tcPr>
          <w:p>
            <w:r/>
            <w:r>
              <w:rPr>
                <w:rFonts w:ascii="Times New Roman" w:hAnsi="Times New Roman"/>
                <w:b w:val="0"/>
                <w:sz w:val="20"/>
              </w:rPr>
              <w:t>elite/internacional</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não nomeado no resumo</w:t>
            </w:r>
          </w:p>
        </w:tc>
        <w:tc>
          <w:tcPr>
            <w:tcW w:type="dxa" w:w="825"/>
          </w:tcPr>
          <w:p>
            <w:r/>
            <w:r>
              <w:rPr>
                <w:rFonts w:ascii="Times New Roman" w:hAnsi="Times New Roman"/>
                <w:b w:val="0"/>
                <w:sz w:val="20"/>
              </w:rPr>
              <w:t>coping e resiliência (a confirmar no texto)</w:t>
            </w:r>
          </w:p>
        </w:tc>
        <w:tc>
          <w:tcPr>
            <w:tcW w:type="dxa" w:w="825"/>
          </w:tcPr>
          <w:p>
            <w:r/>
            <w:r>
              <w:rPr>
                <w:rFonts w:ascii="Times New Roman" w:hAnsi="Times New Roman"/>
                <w:b w:val="0"/>
                <w:sz w:val="20"/>
              </w:rPr>
              <w:t>delineamento não declarado no resumo</w:t>
            </w:r>
          </w:p>
        </w:tc>
      </w:tr>
      <w:tr>
        <w:tc>
          <w:tcPr>
            <w:tcW w:type="dxa" w:w="825"/>
          </w:tcPr>
          <w:p>
            <w:r/>
            <w:r>
              <w:rPr>
                <w:rFonts w:ascii="Times New Roman" w:hAnsi="Times New Roman"/>
                <w:b w:val="0"/>
                <w:sz w:val="20"/>
              </w:rPr>
              <w:t>Preliminary validation of a Spanish version of the Sport Motivation […]</w:t>
            </w:r>
          </w:p>
        </w:tc>
        <w:tc>
          <w:tcPr>
            <w:tcW w:type="dxa" w:w="825"/>
          </w:tcPr>
          <w:p>
            <w:r/>
            <w:r>
              <w:rPr>
                <w:rFonts w:ascii="Times New Roman" w:hAnsi="Times New Roman"/>
                <w:b w:val="0"/>
                <w:sz w:val="20"/>
              </w:rPr>
              <w:t>2006</w:t>
            </w:r>
          </w:p>
        </w:tc>
        <w:tc>
          <w:tcPr>
            <w:tcW w:type="dxa" w:w="825"/>
          </w:tcPr>
          <w:p>
            <w:r/>
            <w:r>
              <w:rPr>
                <w:rFonts w:ascii="Times New Roman" w:hAnsi="Times New Roman"/>
                <w:b w:val="0"/>
                <w:sz w:val="20"/>
              </w:rPr>
              <w:t>Espanha</w:t>
            </w:r>
          </w:p>
        </w:tc>
        <w:tc>
          <w:tcPr>
            <w:tcW w:type="dxa" w:w="825"/>
          </w:tcPr>
          <w:p>
            <w:r/>
            <w:r>
              <w:rPr>
                <w:rFonts w:ascii="Times New Roman" w:hAnsi="Times New Roman"/>
                <w:b w:val="0"/>
                <w:sz w:val="20"/>
              </w:rPr>
              <w:t>275</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ambos</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Validacao</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w:t>
            </w:r>
          </w:p>
        </w:tc>
      </w:tr>
      <w:tr>
        <w:tc>
          <w:tcPr>
            <w:tcW w:type="dxa" w:w="825"/>
          </w:tcPr>
          <w:p>
            <w:r/>
            <w:r>
              <w:rPr>
                <w:rFonts w:ascii="Times New Roman" w:hAnsi="Times New Roman"/>
                <w:b w:val="0"/>
                <w:sz w:val="20"/>
              </w:rPr>
              <w:t>Self-determination in sport commitment.</w:t>
            </w:r>
          </w:p>
        </w:tc>
        <w:tc>
          <w:tcPr>
            <w:tcW w:type="dxa" w:w="825"/>
          </w:tcPr>
          <w:p>
            <w:r/>
            <w:r>
              <w:rPr>
                <w:rFonts w:ascii="Times New Roman" w:hAnsi="Times New Roman"/>
                <w:b w:val="0"/>
                <w:sz w:val="20"/>
              </w:rPr>
              <w:t>2006</w:t>
            </w:r>
          </w:p>
        </w:tc>
        <w:tc>
          <w:tcPr>
            <w:tcW w:type="dxa" w:w="825"/>
          </w:tcPr>
          <w:p>
            <w:r/>
            <w:r>
              <w:rPr>
                <w:rFonts w:ascii="Times New Roman" w:hAnsi="Times New Roman"/>
                <w:b w:val="0"/>
                <w:sz w:val="20"/>
              </w:rPr>
              <w:t>Grécia</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jovem/base</w:t>
            </w:r>
          </w:p>
        </w:tc>
        <w:tc>
          <w:tcPr>
            <w:tcW w:type="dxa" w:w="825"/>
          </w:tcPr>
          <w:p>
            <w:r/>
            <w:r>
              <w:rPr>
                <w:rFonts w:ascii="Times New Roman" w:hAnsi="Times New Roman"/>
                <w:b w:val="0"/>
                <w:sz w:val="20"/>
              </w:rPr>
              <w:t>n.d.</w:t>
            </w:r>
          </w:p>
        </w:tc>
        <w:tc>
          <w:tcPr>
            <w:tcW w:type="dxa" w:w="825"/>
          </w:tcPr>
          <w:p>
            <w:r/>
            <w:r>
              <w:rPr>
                <w:rFonts w:ascii="Times New Roman" w:hAnsi="Times New Roman"/>
                <w:b w:val="0"/>
                <w:sz w:val="20"/>
              </w:rPr>
              <w:t>SMS (Sport Motivation Scale)</w:t>
            </w:r>
          </w:p>
        </w:tc>
        <w:tc>
          <w:tcPr>
            <w:tcW w:type="dxa" w:w="825"/>
          </w:tcPr>
          <w:p>
            <w:r/>
            <w:r>
              <w:rPr>
                <w:rFonts w:ascii="Times New Roman" w:hAnsi="Times New Roman"/>
                <w:b w:val="0"/>
                <w:sz w:val="20"/>
              </w:rPr>
              <w:t>motivação</w:t>
            </w:r>
          </w:p>
        </w:tc>
        <w:tc>
          <w:tcPr>
            <w:tcW w:type="dxa" w:w="825"/>
          </w:tcPr>
          <w:p>
            <w:r/>
            <w:r>
              <w:rPr>
                <w:rFonts w:ascii="Times New Roman" w:hAnsi="Times New Roman"/>
                <w:b w:val="0"/>
                <w:sz w:val="20"/>
              </w:rPr>
              <w:t>delineamento não declarado no resumo</w:t>
            </w:r>
          </w:p>
        </w:tc>
      </w:tr>
    </w:tbl>
    <w:p>
      <w:pPr>
        <w:spacing w:line="240" w:lineRule="auto" w:after="120"/>
        <w:ind w:firstLine="0"/>
        <w:jc w:val="left"/>
      </w:pPr>
      <w:r>
        <w:rPr>
          <w:rFonts w:ascii="Times New Roman" w:hAnsi="Times New Roman"/>
          <w:b w:val="0"/>
          <w:i w:val="0"/>
          <w:sz w:val="20"/>
        </w:rPr>
        <w:t>Fonte: Elaborada pelos autores.</w:t>
      </w:r>
    </w:p>
    <w:p>
      <w:pPr>
        <w:spacing w:line="240" w:lineRule="auto" w:after="120"/>
        <w:ind w:firstLine="0"/>
        <w:jc w:val="both"/>
      </w:pPr>
      <w:r>
        <w:rPr>
          <w:rFonts w:ascii="Times New Roman" w:hAnsi="Times New Roman"/>
          <w:b w:val="0"/>
          <w:i w:val="0"/>
          <w:sz w:val="20"/>
        </w:rPr>
        <w:t>Nota: Gerada de data/BIBLIOTECA_HANDEBOL.sqlite por scripts/gerar_manuscrito.py.</w:t>
      </w:r>
    </w:p>
    <w:p>
      <w:pPr>
        <w:spacing w:line="240" w:lineRule="auto" w:after="120"/>
        <w:ind w:firstLine="0"/>
        <w:jc w:val="both"/>
      </w:pPr>
      <w:r>
        <w:rPr>
          <w:rFonts w:ascii="Times New Roman" w:hAnsi="Times New Roman"/>
          <w:b w:val="0"/>
          <w:i w:val="0"/>
          <w:sz w:val="24"/>
        </w:rPr>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eastAsia="Times New Roman"/>
      <w:b/>
      <w:bCs/>
      <w:caps/>
      <w:sz w:val="24"/>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outlineLvl w:val="1"/>
    </w:pPr>
    <w:rPr>
      <w:rFonts w:asciiTheme="majorHAnsi" w:eastAsiaTheme="majorEastAsia" w:hAnsiTheme="majorHAnsi" w:cstheme="majorBidi" w:ascii="Times New Roman" w:hAnsi="Times New Roman" w:eastAsia="Times New Roman"/>
      <w:b/>
      <w:bCs/>
      <w:caps w:val="0"/>
      <w:sz w:val="24"/>
      <w:szCs w:val="26"/>
    </w:rPr>
  </w:style>
  <w:style w:type="paragraph" w:styleId="Heading3">
    <w:name w:val="heading 3"/>
    <w:basedOn w:val="Normal"/>
    <w:next w:val="Normal"/>
    <w:link w:val="Heading3Char"/>
    <w:uiPriority w:val="9"/>
    <w:unhideWhenUsed/>
    <w:qFormat/>
    <w:rsid w:val="00FC693F"/>
    <w:pPr>
      <w:keepNext/>
      <w:keepLines/>
      <w:spacing w:before="360" w:after="240" w:line="360" w:lineRule="auto"/>
      <w:outlineLvl w:val="2"/>
    </w:pPr>
    <w:rPr>
      <w:rFonts w:asciiTheme="majorHAnsi" w:eastAsiaTheme="majorEastAsia" w:hAnsiTheme="majorHAnsi" w:cstheme="majorBidi" w:ascii="Times New Roman" w:hAnsi="Times New Roman" w:eastAsia="Times New Roman"/>
      <w:b w:val="0"/>
      <w:bCs/>
      <w:caps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