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 seletividade do eixo energia–fadiga que reproduz, num microciclo de handebol, o comportamento já documentado em outras modalidades sob carga —,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 perfis e médias em instantâneos —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 partir do ICC e do desvio-padrão, derivaram-se o erro-padrão de medida (SEM = DP × √(1 − ICC)) e a mudança mínima detectável (MDC = 1,96 × √2 × SEM, a 90% e a 95% de confiança), que expressa a menor variação individual distinguível do erro de medida; como referência de relevância prática, computou-se ainda a menor mudança relevante (SWC = 0,2 × desvio-padrão entre atletas).</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120"/>
        <w:ind w:firstLine="709"/>
        <w:jc w:val="both"/>
      </w:pPr>
      <w:r>
        <w:rPr>
          <w:b w:val="0"/>
          <w:sz w:val="24"/>
        </w:rPr>
        <w:t>Para aprofundar a inferência sobre a dinâmica temporal, acrescentaram-se três abordagens complementares. Primeiro, ajustou-se um modelo bayesiano multinível de curva de crescimento ao vigor e à fadiga,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w:t>
      </w:r>
    </w:p>
    <w:p>
      <w:pPr>
        <w:spacing w:line="360" w:lineRule="auto" w:after="12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5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5):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6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6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7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7) foi moderada a boa, com os valores mais baixos na raiva e na confusão — dimensões mais reativas dia a dia.</w:t>
      </w:r>
    </w:p>
    <w:p>
      <w:pPr>
        <w:spacing w:before="160" w:after="40"/>
      </w:pPr>
      <w:r>
        <w:rPr>
          <w:sz w:val="22"/>
        </w:rPr>
        <w:t>Tabela 8 – Erro de medida e limiares de mudança do vigor e da fadiga (escala 0–16): erro-padrão de medida (SEM), mudança mínima detectável (MDC) e menor mudança relevante (SWC).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interpretada como real quando excede a MDC.</w:t>
      </w:r>
    </w:p>
    <w:p>
      <w:pPr>
        <w:spacing w:after="120"/>
      </w:pPr>
      <w:r>
        <w:rPr>
          <w:sz w:val="18"/>
        </w:rPr>
        <w:t>Fonte: dados da pesquisa (2026).</w:t>
      </w:r>
    </w:p>
    <w:p>
      <w:pPr>
        <w:spacing w:line="360" w:lineRule="auto" w:after="120"/>
        <w:ind w:firstLine="709"/>
        <w:jc w:val="both"/>
      </w:pPr>
      <w:r>
        <w:rPr>
          <w:b w:val="0"/>
          <w:sz w:val="24"/>
        </w:rPr>
        <w:t>Para orientar a leitura individual, derivaram-se do ICC os limiares de mudança (Tabela 8). No vigor, o erro-padrão de medida foi de 2,3 ponto e a mudança mínima detectável, de 5,3 (90%) a 6,3 (95%) pontos; na fadiga, 2,5 e 5,9 a 7,0 pontos, respectivamente. Esses valores contrastam com a menor mudança relevante (SWC = 0,5 no vigor; 0,6 na fadiga): a menor variação que teria significado prático é bem inferior ao erro de medida de uma leitura isolada. A implicação é metodológica e direta — no plano individual, apenas oscilações de cerca de 5,3 a 5,9 pontos podem ser tomadas como mudança real, ao passo que variações menores, embora possivelmente relevantes, confundem-se com o ruído de medida; por isso a inferência deste estudo apoia-se nas tendências de grupo e nos limiares, e não em leituras isoladas por atleta.</w:t>
      </w:r>
    </w:p>
    <w:p>
      <w:pPr>
        <w:spacing w:before="160" w:after="40"/>
      </w:pPr>
      <w:r>
        <w:rPr>
          <w:sz w:val="22"/>
        </w:rPr>
        <w:t>Tabela 9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9;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10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10;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11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11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12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12),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13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13).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14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14).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15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400000" cy="2121429"/>
                    </a:xfrm>
                    <a:prstGeom prst="rect"/>
                  </pic:spPr>
                </pic:pic>
              </a:graphicData>
            </a:graphic>
          </wp:inline>
        </w:drawing>
      </w:r>
    </w:p>
    <w:p>
      <w:pPr>
        <w:jc w:val="center"/>
      </w:pPr>
      <w:r>
        <w:rPr>
          <w:sz w:val="22"/>
        </w:rPr>
        <w:t>Figura 13 – Ajuste polinomial P(t) das médias diárias de vigor e fadiga, com a derivada P′(t) (taxa de variação) e o ponto de inflexão.</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15;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16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16)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17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17;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18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18).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3.15 Modelagem bayesiana multinível: componentes aguda e crônica e heterogeneidade individual</w:t>
      </w:r>
    </w:p>
    <w:p>
      <w:pPr>
        <w:spacing w:before="160" w:after="40"/>
      </w:pPr>
      <w:r>
        <w:rPr>
          <w:sz w:val="22"/>
        </w:rPr>
        <w:t>Tabela 19 – Modelo bayesiano multinível de curva de crescimento para o vigor e a fadiga: estimativas a posteriori (média e intervalo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 pré→pós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 por dia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r>
    </w:tbl>
    <w:p>
      <w:pPr>
        <w:spacing w:after="0"/>
      </w:pPr>
      <w:r>
        <w:rPr>
          <w:i/>
          <w:sz w:val="17"/>
        </w:rPr>
        <w:t>Estimação por amostrador de Gibbs (semente 2024); intervalos de credibilidade que excluem zero indicam efeito consistente. ICC = proporção da variância atribuível a diferenças entre atletas.</w:t>
      </w:r>
    </w:p>
    <w:p>
      <w:pPr>
        <w:spacing w:after="120"/>
      </w:pPr>
      <w:r>
        <w:rPr>
          <w:sz w:val="18"/>
        </w:rPr>
        <w:t>Fonte: dados da pesquisa (2026).</w:t>
      </w:r>
    </w:p>
    <w:p>
      <w:pPr>
        <w:spacing w:line="360" w:lineRule="auto" w:after="12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19).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 heterogeneidade que o modelo quantifica e que respalda a leitura individualizada do monitoramento.</w:t>
      </w:r>
    </w:p>
    <w:p>
      <w:pPr>
        <w:spacing w:before="120"/>
        <w:jc w:val="center"/>
      </w:pPr>
      <w:r>
        <w:drawing>
          <wp:inline xmlns:a="http://schemas.openxmlformats.org/drawingml/2006/main" xmlns:pic="http://schemas.openxmlformats.org/drawingml/2006/picture">
            <wp:extent cx="5580000" cy="2827200"/>
            <wp:docPr id="18" name="Picture 18"/>
            <wp:cNvGraphicFramePr>
              <a:graphicFrameLocks noChangeAspect="1"/>
            </wp:cNvGraphicFramePr>
            <a:graphic>
              <a:graphicData uri="http://schemas.openxmlformats.org/drawingml/2006/picture">
                <pic:pic>
                  <pic:nvPicPr>
                    <pic:cNvPr id="0" name="rede_humor.png"/>
                    <pic:cNvPicPr/>
                  </pic:nvPicPr>
                  <pic:blipFill>
                    <a:blip r:embed="rId26"/>
                    <a:stretch>
                      <a:fillRect/>
                    </a:stretch>
                  </pic:blipFill>
                  <pic:spPr>
                    <a:xfrm>
                      <a:off x="0" y="0"/>
                      <a:ext cx="5580000" cy="2827200"/>
                    </a:xfrm>
                    <a:prstGeom prst="rect"/>
                  </pic:spPr>
                </pic:pic>
              </a:graphicData>
            </a:graphic>
          </wp:inline>
        </w:drawing>
      </w:r>
    </w:p>
    <w:p>
      <w:pPr>
        <w:jc w:val="center"/>
      </w:pPr>
      <w:r>
        <w:rPr>
          <w:sz w:val="22"/>
        </w:rPr>
        <w:t>Figura 18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120"/>
        <w:ind w:firstLine="709"/>
        <w:jc w:val="both"/>
      </w:pPr>
      <w:r>
        <w:rPr>
          <w:b w:val="0"/>
          <w:sz w:val="24"/>
        </w:rPr>
        <w:t>A rede psicométrica das seis dimensões (Figura 18)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 refinamento que a leitura por correlações simples não isola e que traduz, no plano da rede, o “fechamento” do perfil de fadiga.</w:t>
      </w:r>
    </w:p>
    <w:p>
      <w:pPr>
        <w:spacing w:line="360" w:lineRule="auto" w:after="12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 a chance de estar num tercil superior de fadiga mais que dobrou do pré ao pós (OR = 2,25; IC95% 1,43–3,53), enquanto a de vigor caiu na mesma transição (OR = 0,61; IC95% 0,39–0,95) —,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120" w:after="80" w:line="360" w:lineRule="auto"/>
      </w:pPr>
      <w:r>
        <w:rPr>
          <w:b/>
          <w:sz w:val="24"/>
        </w:rPr>
        <w:t>3.16 Classificação individual por mudança confiável (MDC)</w:t>
      </w:r>
    </w:p>
    <w:p>
      <w:pPr>
        <w:spacing w:before="160" w:after="40"/>
      </w:pPr>
      <w:r>
        <w:rPr>
          <w:sz w:val="22"/>
        </w:rPr>
        <w:t>Tabela 20 – Classificação dos atletas pela mudança confiável (Δ Dia 1 → Dia 7 acima da MDC90) no vigor e na fadiga.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Desfecho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Melhora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Piora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Com mudança confiável</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bl>
    <w:p>
      <w:pPr>
        <w:spacing w:after="0"/>
      </w:pPr>
      <w:r>
        <w:rPr>
          <w:i/>
          <w:sz w:val="17"/>
        </w:rPr>
        <w:t>Mudança confiável = |Δ| &gt; MDC90 (vigor 5,3; fadiga 5,9 pontos). Piora = queda de vigor ou elevação de fadiga acima da MDC. n = 21 atletas com medidas completas no Dia 1 e no Dia 7.</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3050400"/>
            <wp:docPr id="19" name="Picture 19"/>
            <wp:cNvGraphicFramePr>
              <a:graphicFrameLocks noChangeAspect="1"/>
            </wp:cNvGraphicFramePr>
            <a:graphic>
              <a:graphicData uri="http://schemas.openxmlformats.org/drawingml/2006/picture">
                <pic:pic>
                  <pic:nvPicPr>
                    <pic:cNvPr id="0" name="mdc_individual.png"/>
                    <pic:cNvPicPr/>
                  </pic:nvPicPr>
                  <pic:blipFill>
                    <a:blip r:embed="rId27"/>
                    <a:stretch>
                      <a:fillRect/>
                    </a:stretch>
                  </pic:blipFill>
                  <pic:spPr>
                    <a:xfrm>
                      <a:off x="0" y="0"/>
                      <a:ext cx="5580000" cy="3050400"/>
                    </a:xfrm>
                    <a:prstGeom prst="rect"/>
                  </pic:spPr>
                </pic:pic>
              </a:graphicData>
            </a:graphic>
          </wp:inline>
        </w:drawing>
      </w:r>
    </w:p>
    <w:p>
      <w:pPr>
        <w:jc w:val="center"/>
      </w:pPr>
      <w:r>
        <w:rPr>
          <w:sz w:val="22"/>
        </w:rPr>
        <w:t>Figura 19 – Mudança individual do vigor e da fadiga (Δ Dia 1 → Dia 7) por atleta, ordenada. A faixa cinza central corresponde à mudança mínima detectável (MDC90); barras fora dela indicam mudança confiável — verde: melhora; vermelho: piora; cinza: dentro do erro de medida.</w:t>
      </w:r>
    </w:p>
    <w:p>
      <w:pPr>
        <w:spacing w:after="120"/>
        <w:jc w:val="center"/>
      </w:pPr>
      <w:r>
        <w:rPr>
          <w:sz w:val="18"/>
        </w:rPr>
        <w:t>Fonte: elaboração dos autores (2026).</w:t>
      </w:r>
    </w:p>
    <w:p>
      <w:pPr>
        <w:spacing w:line="360" w:lineRule="auto" w:after="120"/>
        <w:ind w:firstLine="709"/>
        <w:jc w:val="both"/>
      </w:pPr>
      <w:r>
        <w:rPr>
          <w:b w:val="0"/>
          <w:sz w:val="24"/>
        </w:rPr>
        <w:t>A aplicação do critério de mudança confiável ao nível individual (Tabela 20; Figura 19) matiza o achado de grupo. Embora a equipe tenha derivado no eixo energia–fadiga, a maioria dos atletas manteve-se, individualmente, dentro do erro de medida: apenas 8 dos 21 apresentaram queda de vigor superior à MDC e 7, elevação de fadiga acima dela. Um subconjunto restrito — 3 atletas — reuniu simultaneamente queda confiável de vigor e elevação confiável de fadiga, que representa a assinatura individual mais nítida de sobre-esforço e o grupo que mais claramente demandaria atenção da comissão técnica. Esse contraste entre a resposta média do grupo e a heterogeneidade individual — coerente com a dispersão das inclinações estimada pelo modelo bayesiano — ilustra por que o monitoramento aplicado deve combinar a tendência coletiva com a leitura, atleta a atleta, das mudanças que excedem o erro de medida.</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 onde a máxima verossimilhança encontra dificuldade de convergência —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 que não pressupõe normalidade e respeita o efeito-piso das subescalas —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120"/>
        <w:ind w:firstLine="709"/>
        <w:jc w:val="both"/>
      </w:pPr>
      <w:r>
        <w:rPr>
          <w:b w:val="0"/>
          <w:sz w:val="24"/>
        </w:rPr>
        <w:t>Algumas limitações delimitam o alcance dos achados. A primeira, e mais importante, é o tamanho amostral (27 atletas), associado a uma única equipe e a um único microciclo: o desenho observacional de fase única não autoriza inferência causal sobre a carga, e a generalização a outras equipes, categorias, sexos e momentos da temporada permanece a confirmar. A segunda diz respeito às dimensões negativas do humor, próximas do piso, com variância e fidedignidade reduzidas — o que limita a leitura das suas pequenas oscilações e restringe a interpretação da parte da rede que as envolve. A terceira é que a conversão dos escores T foi referenciada à própria amostra, e não a tabelas normativas nacionais de atletas, o que recomenda cautela na comparação absoluta de prevalências entre estudos e na classificação estrita dos perfis. Some-se que a inferência no nível individual esbarra no erro de medida: como a mudança mínima detectável é ampla, apenas variações individuais expressivas podem ser afirmadas com segurança. Por fim, parte das análises — a rede psicométrica e o modelo ordinal — tem caráter exploratório e valor sobretudo gerador de hipóteses, dado o número de observações.</w:t>
      </w:r>
    </w:p>
    <w:p>
      <w:pPr>
        <w:spacing w:line="360" w:lineRule="auto" w:after="120"/>
        <w:ind w:firstLine="709"/>
        <w:jc w:val="both"/>
      </w:pPr>
      <w:r>
        <w:rPr>
          <w:b w:val="0"/>
          <w:sz w:val="24"/>
        </w:rPr>
        <w:t>Essas limitações, contudo, são atenuadas por características do desenho e da análise, o que preserva a validade dos achados centrais. A medição duas vezes ao dia gerou 286 observações e permitiu dissociar a resposta aguda do acúmulo crônico; a auditoria de robustez (remoção de atípicos por distância de Mahalanobis) não alterou as conclusões; o modelo bayesiano forneceu intervalos de credibilidade estáveis justamente onde a máxima verossimilhança vacila em amostras pequenas; e a convergência entre o modelo contínuo, o bayesiano e o ordinal indica que a deterioração do eixo energia–fadiga não é artefato de uma escolha analítica particular. Em conjunto, o achado central sustenta-se apesar do tamanho amostral, ainda que a sua extensão a outros contextos dependa de replicação.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