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5850" w:leader="none"/>
        </w:tabs>
        <w:jc w:val="center"/>
        <w:rPr>
          <w:rFonts w:cs="Arial"/>
          <w:sz w:val="22"/>
          <w:szCs w:val="22"/>
        </w:rPr>
      </w:pPr>
      <w:bookmarkStart w:id="0" w:name="_GoBack"/>
      <w:bookmarkEnd w:id="0"/>
      <w:r>
        <w:rPr>
          <w:rFonts w:cs="Arial"/>
          <w:sz w:val="22"/>
          <w:szCs w:val="22"/>
        </w:rPr>
        <w:t xml:space="preserve">Supplementary Protocol </w:t>
      </w:r>
    </w:p>
    <w:p>
      <w:pPr>
        <w:pStyle w:val="Normal"/>
        <w:tabs>
          <w:tab w:val="left" w:pos="5850" w:leader="none"/>
        </w:tabs>
        <w:jc w:val="center"/>
        <w:rPr>
          <w:rFonts w:cs="Arial"/>
          <w:sz w:val="22"/>
          <w:szCs w:val="22"/>
        </w:rPr>
      </w:pPr>
      <w:r>
        <w:rPr>
          <w:rFonts w:cs="Arial"/>
          <w:sz w:val="22"/>
          <w:szCs w:val="22"/>
        </w:rPr>
      </w:r>
    </w:p>
    <w:p>
      <w:pPr>
        <w:pStyle w:val="Normal"/>
        <w:tabs>
          <w:tab w:val="left" w:pos="5850" w:leader="none"/>
        </w:tabs>
        <w:jc w:val="center"/>
        <w:rPr>
          <w:rFonts w:cs="Arial"/>
          <w:sz w:val="22"/>
          <w:szCs w:val="22"/>
        </w:rPr>
      </w:pPr>
      <w:r>
        <w:rPr>
          <w:rFonts w:cs="Arial"/>
          <w:sz w:val="22"/>
          <w:szCs w:val="22"/>
        </w:rPr>
        <w:t xml:space="preserve">Protocol for DDI-OI Data Collection  </w:t>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t>Source: UW DIDB, Drugs@fda (published NDA reviews and drug labelings), Goodman and Gilman, and other published papers</w:t>
      </w:r>
    </w:p>
    <w:p>
      <w:pPr>
        <w:pStyle w:val="Normal"/>
        <w:jc w:val="center"/>
        <w:rPr>
          <w:rFonts w:cs="Arial"/>
          <w:sz w:val="22"/>
          <w:szCs w:val="22"/>
        </w:rPr>
      </w:pPr>
      <w:r>
        <w:rPr>
          <w:rFonts w:cs="Arial"/>
          <w:sz w:val="22"/>
          <w:szCs w:val="22"/>
        </w:rPr>
      </w:r>
    </w:p>
    <w:p>
      <w:pPr>
        <w:pStyle w:val="Normal"/>
        <w:jc w:val="center"/>
        <w:rPr>
          <w:rFonts w:cs="Arial"/>
          <w:sz w:val="22"/>
          <w:szCs w:val="22"/>
        </w:rPr>
      </w:pPr>
      <w:r>
        <w:rPr>
          <w:rFonts w:cs="Arial"/>
          <w:sz w:val="22"/>
          <w:szCs w:val="22"/>
        </w:rPr>
      </w:r>
    </w:p>
    <w:p>
      <w:pPr>
        <w:pStyle w:val="Normal"/>
        <w:numPr>
          <w:ilvl w:val="0"/>
          <w:numId w:val="1"/>
        </w:numPr>
        <w:rPr>
          <w:rFonts w:cs="Arial"/>
          <w:sz w:val="22"/>
          <w:szCs w:val="22"/>
        </w:rPr>
      </w:pPr>
      <w:r>
        <w:rPr>
          <w:rFonts w:cs="Arial"/>
          <w:sz w:val="22"/>
          <w:szCs w:val="22"/>
        </w:rPr>
        <w:t>For collection of  fe, list fe,iv and fe,po  (fraction of the administered dose excreted unchanged in urine) in two different columns:</w:t>
      </w:r>
    </w:p>
    <w:p>
      <w:pPr>
        <w:pStyle w:val="Normal"/>
        <w:numPr>
          <w:ilvl w:val="0"/>
          <w:numId w:val="2"/>
        </w:numPr>
        <w:tabs>
          <w:tab w:val="left" w:pos="720" w:leader="none"/>
        </w:tabs>
        <w:ind w:left="720" w:hanging="0"/>
        <w:rPr>
          <w:rFonts w:cs="Arial"/>
          <w:sz w:val="22"/>
          <w:szCs w:val="22"/>
        </w:rPr>
      </w:pPr>
      <w:r>
        <w:rPr>
          <w:rFonts w:cs="Arial"/>
          <w:sz w:val="22"/>
          <w:szCs w:val="22"/>
        </w:rPr>
        <w:t>First check data availability in NDA reviews and drug labelings for both fe,iv and fe,po.</w:t>
      </w:r>
    </w:p>
    <w:p>
      <w:pPr>
        <w:pStyle w:val="Normal"/>
        <w:numPr>
          <w:ilvl w:val="0"/>
          <w:numId w:val="2"/>
        </w:numPr>
        <w:tabs>
          <w:tab w:val="left" w:pos="720" w:leader="none"/>
        </w:tabs>
        <w:ind w:left="720" w:hanging="0"/>
        <w:rPr>
          <w:rFonts w:cs="Arial"/>
          <w:sz w:val="22"/>
          <w:szCs w:val="22"/>
        </w:rPr>
      </w:pPr>
      <w:r>
        <w:rPr>
          <w:rFonts w:cs="Arial"/>
          <w:sz w:val="22"/>
          <w:szCs w:val="22"/>
        </w:rPr>
        <w:t>If not available, check Goodman and Gilman for either fe,iv or fe,po.</w:t>
      </w:r>
    </w:p>
    <w:p>
      <w:pPr>
        <w:pStyle w:val="Normal"/>
        <w:numPr>
          <w:ilvl w:val="0"/>
          <w:numId w:val="2"/>
        </w:numPr>
        <w:tabs>
          <w:tab w:val="left" w:pos="720" w:leader="none"/>
        </w:tabs>
        <w:ind w:left="720" w:hanging="0"/>
        <w:rPr>
          <w:rFonts w:cs="Arial"/>
          <w:sz w:val="22"/>
          <w:szCs w:val="22"/>
        </w:rPr>
      </w:pPr>
      <w:r>
        <w:rPr>
          <w:rFonts w:cs="Arial"/>
          <w:sz w:val="22"/>
          <w:szCs w:val="22"/>
        </w:rPr>
        <w:t>If not available, look for other published sources to obtain fe,iv. If fe,iv is not found, then look for fe,po.</w:t>
      </w:r>
    </w:p>
    <w:p>
      <w:pPr>
        <w:pStyle w:val="Normal"/>
        <w:numPr>
          <w:ilvl w:val="0"/>
          <w:numId w:val="2"/>
        </w:numPr>
        <w:tabs>
          <w:tab w:val="left" w:pos="720" w:leader="none"/>
        </w:tabs>
        <w:ind w:left="720" w:hanging="0"/>
        <w:rPr>
          <w:rFonts w:cs="Arial"/>
          <w:sz w:val="22"/>
          <w:szCs w:val="22"/>
        </w:rPr>
      </w:pPr>
      <w:r>
        <w:rPr>
          <w:rFonts w:cs="Arial"/>
          <w:sz w:val="22"/>
          <w:szCs w:val="22"/>
        </w:rPr>
        <w:t>If the statements in the source documents included the following;</w:t>
      </w:r>
    </w:p>
    <w:p>
      <w:pPr>
        <w:pStyle w:val="Normal"/>
        <w:numPr>
          <w:ilvl w:val="0"/>
          <w:numId w:val="3"/>
        </w:numPr>
        <w:rPr>
          <w:rFonts w:cs="Arial"/>
          <w:sz w:val="22"/>
          <w:szCs w:val="22"/>
        </w:rPr>
      </w:pPr>
      <w:r>
        <w:rPr>
          <w:rFonts w:cs="Arial"/>
          <w:sz w:val="22"/>
          <w:szCs w:val="22"/>
        </w:rPr>
        <w:t xml:space="preserve"> “</w:t>
      </w:r>
      <w:r>
        <w:rPr>
          <w:rFonts w:cs="Arial"/>
          <w:sz w:val="22"/>
          <w:szCs w:val="22"/>
        </w:rPr>
        <w:t>xx% of the dose was excreted unchanged in urine”, enter “xx/100”.</w:t>
      </w:r>
    </w:p>
    <w:p>
      <w:pPr>
        <w:pStyle w:val="Normal"/>
        <w:numPr>
          <w:ilvl w:val="0"/>
          <w:numId w:val="3"/>
        </w:numPr>
        <w:rPr>
          <w:rFonts w:cs="Arial"/>
          <w:sz w:val="22"/>
          <w:szCs w:val="22"/>
        </w:rPr>
      </w:pPr>
      <w:r>
        <w:rPr>
          <w:rFonts w:cs="Arial"/>
          <w:sz w:val="22"/>
          <w:szCs w:val="22"/>
        </w:rPr>
        <w:t>“</w:t>
      </w:r>
      <w:r>
        <w:rPr>
          <w:rFonts w:cs="Arial"/>
          <w:sz w:val="22"/>
          <w:szCs w:val="22"/>
        </w:rPr>
        <w:t>the range of fe” is available, enter “xx-yy”. Use average of xx and yy for plotting.</w:t>
      </w:r>
    </w:p>
    <w:p>
      <w:pPr>
        <w:pStyle w:val="Normal"/>
        <w:numPr>
          <w:ilvl w:val="0"/>
          <w:numId w:val="3"/>
        </w:numPr>
        <w:rPr>
          <w:rFonts w:cs="Arial"/>
          <w:sz w:val="22"/>
          <w:szCs w:val="22"/>
        </w:rPr>
      </w:pPr>
      <w:r>
        <w:rPr>
          <w:rFonts w:cs="Arial"/>
          <w:sz w:val="22"/>
          <w:szCs w:val="22"/>
        </w:rPr>
        <w:t xml:space="preserve"> “</w:t>
      </w:r>
      <w:r>
        <w:rPr>
          <w:rFonts w:cs="Arial"/>
          <w:sz w:val="22"/>
          <w:szCs w:val="22"/>
        </w:rPr>
        <w:t>less than xx% of the dose was excreted unchanged in urine”, enter the number as “&lt;xx/100”.</w:t>
      </w:r>
    </w:p>
    <w:p>
      <w:pPr>
        <w:pStyle w:val="Normal"/>
        <w:numPr>
          <w:ilvl w:val="0"/>
          <w:numId w:val="3"/>
        </w:numPr>
        <w:rPr>
          <w:rFonts w:cs="Arial"/>
          <w:sz w:val="22"/>
          <w:szCs w:val="22"/>
        </w:rPr>
      </w:pPr>
      <w:r>
        <w:rPr>
          <w:rFonts w:cs="Arial"/>
          <w:sz w:val="22"/>
          <w:szCs w:val="22"/>
        </w:rPr>
        <w:t xml:space="preserve"> “</w:t>
      </w:r>
      <w:r>
        <w:rPr>
          <w:rFonts w:cs="Arial"/>
          <w:sz w:val="22"/>
          <w:szCs w:val="22"/>
        </w:rPr>
        <w:t>less than xx% of the dose was excreted as total radioactivity in urine” and fraction of the unchanged drug is not available, enter “&lt;xx/100” with a footnotes (need to be specifically flagged).</w:t>
      </w:r>
    </w:p>
    <w:p>
      <w:pPr>
        <w:pStyle w:val="Normal"/>
        <w:numPr>
          <w:ilvl w:val="0"/>
          <w:numId w:val="3"/>
        </w:numPr>
        <w:rPr>
          <w:rFonts w:cs="Arial"/>
          <w:sz w:val="22"/>
          <w:szCs w:val="22"/>
        </w:rPr>
      </w:pPr>
      <w:r>
        <w:rPr>
          <w:rFonts w:cs="Arial"/>
          <w:sz w:val="22"/>
          <w:szCs w:val="22"/>
        </w:rPr>
        <w:t xml:space="preserve"> “</w:t>
      </w:r>
      <w:r>
        <w:rPr>
          <w:rFonts w:cs="Arial"/>
          <w:sz w:val="22"/>
          <w:szCs w:val="22"/>
        </w:rPr>
        <w:t xml:space="preserve">minimally/negligibly/trace amount excreted in urine”, enter “minimal”, “negligible”, or “trace”. </w:t>
      </w:r>
    </w:p>
    <w:p>
      <w:pPr>
        <w:pStyle w:val="Normal"/>
        <w:numPr>
          <w:ilvl w:val="0"/>
          <w:numId w:val="3"/>
        </w:numPr>
        <w:rPr>
          <w:rFonts w:cs="Arial"/>
          <w:sz w:val="22"/>
          <w:szCs w:val="22"/>
        </w:rPr>
      </w:pPr>
      <w:r>
        <w:rPr>
          <w:rFonts w:cs="Arial"/>
          <w:sz w:val="22"/>
          <w:szCs w:val="22"/>
        </w:rPr>
        <w:t xml:space="preserve">If only Clr and Clsys values after IV administration are available in the clinical pharmacology section, enter “fe,iv” as calculated as Clr/Clsys.  </w:t>
      </w:r>
    </w:p>
    <w:p>
      <w:pPr>
        <w:pStyle w:val="Normal"/>
        <w:ind w:left="1080" w:hanging="0"/>
        <w:rPr>
          <w:rFonts w:cs="Arial"/>
          <w:sz w:val="22"/>
          <w:szCs w:val="22"/>
        </w:rPr>
      </w:pPr>
      <w:r>
        <w:rPr>
          <w:rFonts w:cs="Arial"/>
          <w:sz w:val="22"/>
          <w:szCs w:val="22"/>
        </w:rPr>
      </w:r>
    </w:p>
    <w:p>
      <w:pPr>
        <w:pStyle w:val="Normal"/>
        <w:numPr>
          <w:ilvl w:val="0"/>
          <w:numId w:val="1"/>
        </w:numPr>
        <w:rPr>
          <w:rFonts w:cs="Arial"/>
          <w:sz w:val="22"/>
          <w:szCs w:val="22"/>
        </w:rPr>
      </w:pPr>
      <w:r>
        <w:rPr>
          <w:rFonts w:cs="Arial"/>
          <w:sz w:val="22"/>
          <w:szCs w:val="22"/>
        </w:rPr>
        <w:t>For collection of %F  (absolute oral bioavailability)</w:t>
      </w:r>
    </w:p>
    <w:p>
      <w:pPr>
        <w:pStyle w:val="Normal"/>
        <w:numPr>
          <w:ilvl w:val="0"/>
          <w:numId w:val="3"/>
        </w:numPr>
        <w:rPr>
          <w:rFonts w:cs="Arial"/>
          <w:sz w:val="22"/>
          <w:szCs w:val="22"/>
        </w:rPr>
      </w:pPr>
      <w:r>
        <w:rPr>
          <w:rFonts w:cs="Arial"/>
          <w:sz w:val="22"/>
          <w:szCs w:val="22"/>
        </w:rPr>
        <w:t>If from the FDA labeling, the information is usually is available under the absorption subsection of the “Clinical Pharmacology” section of the FDA labeling, or published papers and an absolute bioavailability study using iv and po, has been conducted.  If it is clearly stated “the absolute bioavailability is xx%”, then enter “xx/100”.</w:t>
      </w:r>
    </w:p>
    <w:p>
      <w:pPr>
        <w:pStyle w:val="Normal"/>
        <w:numPr>
          <w:ilvl w:val="0"/>
          <w:numId w:val="3"/>
        </w:numPr>
        <w:rPr>
          <w:rFonts w:cs="Arial"/>
          <w:sz w:val="22"/>
          <w:szCs w:val="22"/>
        </w:rPr>
      </w:pPr>
      <w:r>
        <w:rPr>
          <w:rFonts w:cs="Arial"/>
          <w:sz w:val="22"/>
          <w:szCs w:val="22"/>
        </w:rPr>
        <w:t>If it is not stated, look for info like Clsys and Cloral values, %F can be calculated as 100*Clsys/Cloral. If no information, then enter “NA” “not available”.</w:t>
      </w:r>
    </w:p>
    <w:p>
      <w:pPr>
        <w:pStyle w:val="Normal"/>
        <w:numPr>
          <w:ilvl w:val="0"/>
          <w:numId w:val="3"/>
        </w:numPr>
        <w:rPr>
          <w:rFonts w:cs="Arial"/>
          <w:sz w:val="22"/>
          <w:szCs w:val="22"/>
        </w:rPr>
      </w:pPr>
      <w:r>
        <w:rPr>
          <w:rFonts w:cs="Arial"/>
          <w:sz w:val="22"/>
          <w:szCs w:val="22"/>
        </w:rPr>
        <w:t>If the ADME data is available (e.g., at least xx% based on percent unchanged in urine following oral administration), enter “&gt;xx/100”.</w:t>
      </w:r>
    </w:p>
    <w:p>
      <w:pPr>
        <w:pStyle w:val="Normal"/>
        <w:ind w:left="720" w:hanging="0"/>
        <w:rPr>
          <w:rFonts w:cs="Arial"/>
          <w:sz w:val="22"/>
          <w:szCs w:val="22"/>
        </w:rPr>
      </w:pPr>
      <w:r>
        <w:rPr>
          <w:rFonts w:cs="Arial"/>
          <w:sz w:val="22"/>
          <w:szCs w:val="22"/>
        </w:rPr>
      </w:r>
    </w:p>
    <w:p>
      <w:pPr>
        <w:pStyle w:val="Normal"/>
        <w:numPr>
          <w:ilvl w:val="0"/>
          <w:numId w:val="1"/>
        </w:numPr>
        <w:rPr>
          <w:rFonts w:cs="Arial"/>
          <w:sz w:val="22"/>
          <w:szCs w:val="22"/>
        </w:rPr>
      </w:pPr>
      <w:r>
        <w:rPr>
          <w:rFonts w:cs="Arial"/>
          <w:sz w:val="22"/>
          <w:szCs w:val="22"/>
        </w:rPr>
        <w:t>For determination if renal excretion is a significant route of elimination (“renal pathway significant”), the following determination is utilized:</w:t>
      </w:r>
    </w:p>
    <w:p>
      <w:pPr>
        <w:pStyle w:val="Normal"/>
        <w:numPr>
          <w:ilvl w:val="0"/>
          <w:numId w:val="3"/>
        </w:numPr>
        <w:rPr>
          <w:rFonts w:cs="Arial"/>
          <w:sz w:val="22"/>
          <w:szCs w:val="22"/>
        </w:rPr>
      </w:pPr>
      <w:r>
        <w:rPr>
          <w:rFonts w:cs="Arial"/>
          <w:sz w:val="22"/>
          <w:szCs w:val="22"/>
        </w:rPr>
        <w:t>If fe,iv &gt;= 30% or fe,po &gt;= 30%, enter “yes”.</w:t>
      </w:r>
    </w:p>
    <w:p>
      <w:pPr>
        <w:pStyle w:val="Normal"/>
        <w:numPr>
          <w:ilvl w:val="0"/>
          <w:numId w:val="3"/>
        </w:numPr>
        <w:rPr>
          <w:rFonts w:cs="Arial"/>
          <w:sz w:val="22"/>
          <w:szCs w:val="22"/>
        </w:rPr>
      </w:pPr>
      <w:r>
        <w:rPr>
          <w:rFonts w:cs="Arial"/>
          <w:sz w:val="22"/>
          <w:szCs w:val="22"/>
        </w:rPr>
        <w:t>If the fe,iv &lt;30% or fe,po/F&lt;30%, enter “no”.</w:t>
      </w:r>
    </w:p>
    <w:p>
      <w:pPr>
        <w:pStyle w:val="Normal"/>
        <w:numPr>
          <w:ilvl w:val="0"/>
          <w:numId w:val="3"/>
        </w:numPr>
        <w:rPr>
          <w:rFonts w:cs="Arial"/>
          <w:sz w:val="22"/>
          <w:szCs w:val="22"/>
        </w:rPr>
      </w:pPr>
      <w:r>
        <w:rPr>
          <w:rFonts w:cs="Arial"/>
          <w:sz w:val="22"/>
          <w:szCs w:val="22"/>
        </w:rPr>
        <w:t>If fe,po&lt;30% in the absence of F, or if fe unknown, enter “NA(not available)”.</w:t>
      </w:r>
    </w:p>
    <w:p>
      <w:pPr>
        <w:pStyle w:val="Normal"/>
        <w:ind w:left="720" w:hanging="0"/>
        <w:rPr>
          <w:rFonts w:cs="Arial"/>
          <w:sz w:val="22"/>
          <w:szCs w:val="22"/>
        </w:rPr>
      </w:pPr>
      <w:r>
        <w:rPr>
          <w:rFonts w:cs="Arial"/>
          <w:sz w:val="22"/>
          <w:szCs w:val="22"/>
        </w:rPr>
      </w:r>
    </w:p>
    <w:p>
      <w:pPr>
        <w:pStyle w:val="Normal"/>
        <w:numPr>
          <w:ilvl w:val="0"/>
          <w:numId w:val="1"/>
        </w:numPr>
        <w:rPr>
          <w:rFonts w:cs="Arial"/>
          <w:sz w:val="22"/>
          <w:szCs w:val="22"/>
        </w:rPr>
      </w:pPr>
      <w:r>
        <w:rPr>
          <w:rFonts w:cs="Arial"/>
          <w:sz w:val="22"/>
          <w:szCs w:val="22"/>
        </w:rPr>
        <w:t xml:space="preserve">For determination if nonrenal elimination is a significant route of elimination (non-renal pathway significant): </w:t>
      </w:r>
    </w:p>
    <w:p>
      <w:pPr>
        <w:pStyle w:val="Normal"/>
        <w:numPr>
          <w:ilvl w:val="0"/>
          <w:numId w:val="3"/>
        </w:numPr>
        <w:rPr>
          <w:rFonts w:cs="Arial"/>
          <w:sz w:val="22"/>
          <w:szCs w:val="22"/>
        </w:rPr>
      </w:pPr>
      <w:r>
        <w:rPr>
          <w:rFonts w:cs="Arial"/>
          <w:sz w:val="22"/>
          <w:szCs w:val="22"/>
        </w:rPr>
        <w:t>Enter “yes” if the entry for “3” above is “no”.</w:t>
      </w:r>
    </w:p>
    <w:p>
      <w:pPr>
        <w:pStyle w:val="Normal"/>
        <w:numPr>
          <w:ilvl w:val="0"/>
          <w:numId w:val="3"/>
        </w:numPr>
        <w:rPr>
          <w:rFonts w:cs="Arial"/>
          <w:sz w:val="22"/>
          <w:szCs w:val="22"/>
        </w:rPr>
      </w:pPr>
      <w:r>
        <w:rPr>
          <w:rFonts w:cs="Arial"/>
          <w:sz w:val="22"/>
          <w:szCs w:val="22"/>
        </w:rPr>
        <w:t>Enter “yes” if fe,iv &lt;= 70% or fe,po/F &lt;= 70%</w:t>
      </w:r>
    </w:p>
    <w:p>
      <w:pPr>
        <w:pStyle w:val="Normal"/>
        <w:numPr>
          <w:ilvl w:val="0"/>
          <w:numId w:val="3"/>
        </w:numPr>
        <w:rPr>
          <w:rFonts w:cs="Arial"/>
          <w:sz w:val="22"/>
          <w:szCs w:val="22"/>
        </w:rPr>
      </w:pPr>
      <w:r>
        <w:rPr>
          <w:rFonts w:cs="Arial"/>
          <w:sz w:val="22"/>
          <w:szCs w:val="22"/>
        </w:rPr>
        <w:t>Enter “yes” if a human mass balance study after iv administration shows that &gt;=30% of the dose is metabolized by liver enzyme.</w:t>
      </w:r>
    </w:p>
    <w:p>
      <w:pPr>
        <w:pStyle w:val="Normal"/>
        <w:numPr>
          <w:ilvl w:val="0"/>
          <w:numId w:val="3"/>
        </w:numPr>
        <w:rPr>
          <w:rFonts w:cs="Arial"/>
          <w:sz w:val="22"/>
          <w:szCs w:val="22"/>
        </w:rPr>
      </w:pPr>
      <w:r>
        <w:rPr>
          <w:rFonts w:cs="Arial"/>
          <w:sz w:val="22"/>
          <w:szCs w:val="22"/>
        </w:rPr>
        <w:t>Enter “yes” if a human mass balance study after intravenous administration shows &gt;=30% of the drug is excreted unchanged in feces.</w:t>
      </w:r>
    </w:p>
    <w:p>
      <w:pPr>
        <w:pStyle w:val="Normal"/>
        <w:numPr>
          <w:ilvl w:val="0"/>
          <w:numId w:val="3"/>
        </w:numPr>
        <w:rPr>
          <w:rFonts w:cs="Arial"/>
          <w:sz w:val="22"/>
          <w:szCs w:val="22"/>
        </w:rPr>
      </w:pPr>
      <w:r>
        <w:rPr>
          <w:rFonts w:cs="Arial"/>
          <w:sz w:val="22"/>
          <w:szCs w:val="22"/>
        </w:rPr>
        <w:t>Enter “yes” if a human mass balance study after oral administration shows &gt;=30% of the dose is excreted as metabolites in the urine.</w:t>
      </w:r>
    </w:p>
    <w:p>
      <w:pPr>
        <w:pStyle w:val="Normal"/>
        <w:numPr>
          <w:ilvl w:val="0"/>
          <w:numId w:val="3"/>
        </w:numPr>
        <w:rPr>
          <w:rFonts w:cs="Arial"/>
          <w:sz w:val="22"/>
          <w:szCs w:val="22"/>
        </w:rPr>
      </w:pPr>
      <w:r>
        <w:rPr>
          <w:rFonts w:cs="Arial"/>
          <w:sz w:val="22"/>
          <w:szCs w:val="22"/>
        </w:rPr>
        <w:t>Enter “no” if fe,iv or fe,po&gt;70%.</w:t>
      </w:r>
    </w:p>
    <w:p>
      <w:pPr>
        <w:pStyle w:val="Normal"/>
        <w:numPr>
          <w:ilvl w:val="0"/>
          <w:numId w:val="3"/>
        </w:numPr>
        <w:rPr>
          <w:rFonts w:cs="Arial"/>
          <w:sz w:val="22"/>
          <w:szCs w:val="22"/>
        </w:rPr>
      </w:pPr>
      <w:r>
        <w:rPr>
          <w:rFonts w:cs="Arial"/>
          <w:sz w:val="22"/>
          <w:szCs w:val="22"/>
        </w:rPr>
        <w:t>If none of the above fits, enter “NA (not available)”.</w:t>
      </w:r>
    </w:p>
    <w:p>
      <w:pPr>
        <w:pStyle w:val="Normal"/>
        <w:numPr>
          <w:ilvl w:val="0"/>
          <w:numId w:val="3"/>
        </w:numPr>
        <w:rPr>
          <w:rFonts w:cs="Arial"/>
          <w:sz w:val="22"/>
          <w:szCs w:val="22"/>
        </w:rPr>
      </w:pPr>
      <w:r>
        <w:rPr>
          <w:rFonts w:cs="Arial"/>
          <w:sz w:val="22"/>
          <w:szCs w:val="22"/>
        </w:rPr>
        <w:t>Specifically flag if “non-renal pathway” clearly involves pathways other than liver or intestine (e.g. bone metabolism).</w:t>
      </w:r>
    </w:p>
    <w:p>
      <w:pPr>
        <w:pStyle w:val="Normal"/>
        <w:ind w:left="720" w:hanging="0"/>
        <w:rPr>
          <w:rFonts w:cs="Arial"/>
          <w:sz w:val="22"/>
          <w:szCs w:val="22"/>
        </w:rPr>
      </w:pPr>
      <w:r>
        <w:rPr>
          <w:rFonts w:cs="Arial"/>
          <w:sz w:val="22"/>
          <w:szCs w:val="22"/>
        </w:rPr>
      </w:r>
    </w:p>
    <w:p>
      <w:pPr>
        <w:pStyle w:val="Normal"/>
        <w:numPr>
          <w:ilvl w:val="0"/>
          <w:numId w:val="1"/>
        </w:numPr>
        <w:rPr>
          <w:rFonts w:cs="Arial"/>
          <w:sz w:val="22"/>
          <w:szCs w:val="22"/>
        </w:rPr>
      </w:pPr>
      <w:r>
        <w:rPr>
          <w:rFonts w:cs="Arial"/>
          <w:sz w:val="22"/>
          <w:szCs w:val="22"/>
        </w:rPr>
        <w:t xml:space="preserve">Metabolic enzymes: </w:t>
      </w:r>
    </w:p>
    <w:p>
      <w:pPr>
        <w:pStyle w:val="Normal"/>
        <w:numPr>
          <w:ilvl w:val="0"/>
          <w:numId w:val="3"/>
        </w:numPr>
        <w:rPr>
          <w:rFonts w:cs="Arial"/>
          <w:sz w:val="22"/>
          <w:szCs w:val="22"/>
        </w:rPr>
      </w:pPr>
      <w:r>
        <w:rPr>
          <w:rFonts w:cs="Arial"/>
          <w:sz w:val="22"/>
          <w:szCs w:val="22"/>
        </w:rPr>
        <w:t>List all metabolic pathway specified in PL.</w:t>
      </w:r>
    </w:p>
    <w:p>
      <w:pPr>
        <w:pStyle w:val="Normal"/>
        <w:numPr>
          <w:ilvl w:val="0"/>
          <w:numId w:val="3"/>
        </w:numPr>
        <w:rPr>
          <w:rFonts w:cs="Arial"/>
          <w:sz w:val="22"/>
          <w:szCs w:val="22"/>
        </w:rPr>
      </w:pPr>
      <w:r>
        <w:rPr>
          <w:rFonts w:cs="Arial"/>
          <w:sz w:val="22"/>
          <w:szCs w:val="22"/>
        </w:rPr>
        <w:t>If they were described as "major", "main", or “primary” in PL, bold these enzymes.</w:t>
      </w:r>
    </w:p>
    <w:p>
      <w:pPr>
        <w:pStyle w:val="Normal"/>
        <w:numPr>
          <w:ilvl w:val="0"/>
          <w:numId w:val="3"/>
        </w:numPr>
        <w:rPr>
          <w:rFonts w:cs="Arial"/>
          <w:sz w:val="22"/>
          <w:szCs w:val="22"/>
        </w:rPr>
      </w:pPr>
      <w:r>
        <w:rPr>
          <w:rFonts w:cs="Arial"/>
          <w:sz w:val="22"/>
          <w:szCs w:val="22"/>
        </w:rPr>
        <w:t>When PL says metabolic pathway is not major, describe as “Metabolism is not a major pathway”.</w:t>
      </w:r>
    </w:p>
    <w:p>
      <w:pPr>
        <w:pStyle w:val="Normal"/>
        <w:numPr>
          <w:ilvl w:val="0"/>
          <w:numId w:val="3"/>
        </w:numPr>
        <w:rPr>
          <w:rFonts w:cs="Arial"/>
          <w:sz w:val="22"/>
          <w:szCs w:val="22"/>
        </w:rPr>
      </w:pPr>
      <w:r>
        <w:rPr>
          <w:rFonts w:cs="Arial"/>
          <w:sz w:val="22"/>
          <w:szCs w:val="22"/>
        </w:rPr>
        <w:t>When PL says a compound is not metabolized, describe as “Not metabolized”.</w:t>
      </w:r>
    </w:p>
    <w:p>
      <w:pPr>
        <w:pStyle w:val="Normal"/>
        <w:numPr>
          <w:ilvl w:val="0"/>
          <w:numId w:val="3"/>
        </w:numPr>
        <w:rPr>
          <w:rFonts w:cs="Arial"/>
          <w:sz w:val="22"/>
          <w:szCs w:val="22"/>
        </w:rPr>
      </w:pPr>
      <w:r>
        <w:rPr>
          <w:rFonts w:cs="Arial"/>
          <w:sz w:val="22"/>
          <w:szCs w:val="22"/>
        </w:rPr>
        <w:t>If PL does not describe any enzymes, describe as “Not specified”.</w:t>
      </w:r>
    </w:p>
    <w:p>
      <w:pPr>
        <w:pStyle w:val="Normal"/>
        <w:numPr>
          <w:ilvl w:val="0"/>
          <w:numId w:val="3"/>
        </w:numPr>
        <w:rPr>
          <w:rFonts w:cs="Arial"/>
          <w:sz w:val="22"/>
          <w:szCs w:val="22"/>
        </w:rPr>
      </w:pPr>
      <w:r>
        <w:rPr>
          <w:rFonts w:cs="Arial"/>
          <w:sz w:val="22"/>
          <w:szCs w:val="22"/>
        </w:rPr>
        <w:t>If PL is not available, DIDB or publications should be queried.</w:t>
      </w:r>
    </w:p>
    <w:p>
      <w:pPr>
        <w:pStyle w:val="Normal"/>
        <w:ind w:left="720" w:hanging="0"/>
        <w:rPr>
          <w:rFonts w:cs="Arial"/>
          <w:sz w:val="22"/>
          <w:szCs w:val="22"/>
        </w:rPr>
      </w:pPr>
      <w:r>
        <w:rPr>
          <w:rFonts w:cs="Arial"/>
          <w:sz w:val="22"/>
          <w:szCs w:val="22"/>
        </w:rPr>
      </w:r>
    </w:p>
    <w:p>
      <w:pPr>
        <w:pStyle w:val="Normal"/>
        <w:numPr>
          <w:ilvl w:val="0"/>
          <w:numId w:val="1"/>
        </w:numPr>
        <w:rPr>
          <w:rFonts w:cs="Arial"/>
          <w:sz w:val="22"/>
          <w:szCs w:val="22"/>
        </w:rPr>
      </w:pPr>
      <w:r>
        <w:rPr>
          <w:rFonts w:cs="Arial"/>
          <w:sz w:val="22"/>
          <w:szCs w:val="22"/>
        </w:rPr>
        <w:t xml:space="preserve">Transporters: </w:t>
      </w:r>
    </w:p>
    <w:p>
      <w:pPr>
        <w:pStyle w:val="Normal"/>
        <w:numPr>
          <w:ilvl w:val="0"/>
          <w:numId w:val="3"/>
        </w:numPr>
        <w:rPr>
          <w:rFonts w:cs="Arial"/>
          <w:sz w:val="22"/>
          <w:szCs w:val="22"/>
        </w:rPr>
      </w:pPr>
      <w:r>
        <w:rPr>
          <w:rFonts w:cs="Arial"/>
          <w:sz w:val="22"/>
          <w:szCs w:val="22"/>
        </w:rPr>
        <w:t>Collect in vitro information as substrate using UW DIDB and the FDA labeling.</w:t>
      </w:r>
    </w:p>
    <w:p>
      <w:pPr>
        <w:pStyle w:val="Normal"/>
        <w:numPr>
          <w:ilvl w:val="0"/>
          <w:numId w:val="3"/>
        </w:numPr>
        <w:rPr>
          <w:rFonts w:cs="Arial"/>
          <w:sz w:val="22"/>
          <w:szCs w:val="22"/>
        </w:rPr>
      </w:pPr>
      <w:r>
        <w:rPr>
          <w:rFonts w:cs="Arial"/>
          <w:sz w:val="22"/>
          <w:szCs w:val="22"/>
        </w:rPr>
        <w:t>List all the transporters described in DDI guidance from FDA, EMA, and PMDA (P-gp, BCRP, OATP1B1/1B3, OCT1, OCT2, MATE1/2K, OAT1/3).</w:t>
      </w:r>
    </w:p>
    <w:p>
      <w:pPr>
        <w:pStyle w:val="Normal"/>
        <w:spacing w:lineRule="auto" w:line="480"/>
        <w:ind w:right="-720" w:hanging="0"/>
        <w:rPr/>
      </w:pPr>
      <w:r>
        <w:rPr/>
      </w:r>
    </w:p>
    <w:sectPr>
      <w:headerReference w:type="default" r:id="rId2"/>
      <w:footerReference w:type="default" r:id="rId3"/>
      <w:type w:val="nextPage"/>
      <w:pgSz w:w="12240" w:h="15840"/>
      <w:pgMar w:left="990" w:right="540" w:header="720" w:top="990" w:footer="720" w:bottom="12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9552830"/>
    </w:sdtPr>
    <w:sdtContent>
      <w:p>
        <w:pPr>
          <w:pStyle w:val="Footer"/>
          <w:jc w:val="right"/>
          <w:rPr/>
        </w:pPr>
        <w:r>
          <w:rPr>
            <w:sz w:val="20"/>
            <w:szCs w:val="20"/>
          </w:rPr>
          <w:fldChar w:fldCharType="begin"/>
        </w:r>
        <w:r>
          <w:instrText> PAGE </w:instrText>
        </w:r>
        <w:r>
          <w:fldChar w:fldCharType="separate"/>
        </w:r>
        <w:r>
          <w:t>2</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20"/>
        <w:szCs w:val="20"/>
      </w:rPr>
    </w:pPr>
    <w:r>
      <w:rPr>
        <w:sz w:val="20"/>
        <w:szCs w:val="20"/>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left"/>
      <w:pPr>
        <w:tabs>
          <w:tab w:val="num" w:pos="2700"/>
        </w:tabs>
        <w:ind w:left="2700" w:hanging="720"/>
      </w:pPr>
    </w:lvl>
    <w:lvl w:ilvl="3">
      <w:start w:val="1"/>
      <w:numFmt w:val="bullet"/>
      <w:lvlText w:val=""/>
      <w:lvlJc w:val="left"/>
      <w:pPr>
        <w:tabs>
          <w:tab w:val="num" w:pos="2880"/>
        </w:tabs>
        <w:ind w:left="2880" w:hanging="360"/>
      </w:pPr>
      <w:rPr>
        <w:rFonts w:ascii="Wingdings" w:hAnsi="Wingdings" w:cs="Wingdings" w:hint="default"/>
        <w:sz w:val="12"/>
        <w:szCs w:val="12"/>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Fonts w:cs="Courier New"/>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Fonts w:cs="Courier New"/>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Fonts w:cs="Courier New"/>
      </w:rPr>
    </w:lvl>
    <w:lvl w:ilvl="8">
      <w:start w:val="1"/>
      <w:numFmt w:val="bullet"/>
      <w:lvlText w:val=""/>
      <w:lvlJc w:val="left"/>
      <w:pPr>
        <w:tabs>
          <w:tab w:val="num" w:pos="7200"/>
        </w:tabs>
        <w:ind w:left="7200" w:hanging="360"/>
      </w:pPr>
      <w:rPr>
        <w:rFonts w:ascii="Wingdings" w:hAnsi="Wingdings" w:cs="Wingdings" w:hint="default"/>
      </w:rPr>
    </w:lvl>
  </w:abstractNum>
  <w:abstractNum w:abstractNumId="3">
    <w:lvl w:ilvl="0">
      <w:start w:val="4"/>
      <w:numFmt w:val="bullet"/>
      <w:lvlText w:val="-"/>
      <w:lvlJc w:val="left"/>
      <w:pPr>
        <w:tabs>
          <w:tab w:val="num" w:pos="1080"/>
        </w:tabs>
        <w:ind w:left="1080" w:hanging="360"/>
      </w:pPr>
      <w:rPr>
        <w:rFonts w:ascii="Times New Roman" w:hAnsi="Times New Roman" w:cs="Times New Roman" w:hint="default"/>
        <w:sz w:val="22"/>
        <w:rFonts w:cs="Times New Roman"/>
      </w:rPr>
    </w:lvl>
    <w:lvl w:ilvl="1">
      <w:start w:val="1"/>
      <w:numFmt w:val="bullet"/>
      <w:lvlText w:val=""/>
      <w:lvlJc w:val="left"/>
      <w:pPr>
        <w:tabs>
          <w:tab w:val="num" w:pos="1800"/>
        </w:tabs>
        <w:ind w:left="1800" w:hanging="360"/>
      </w:pPr>
      <w:rPr>
        <w:rFonts w:ascii="Symbol" w:hAnsi="Symbol" w:cs="Symbol"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13233"/>
    <w:pPr>
      <w:widowControl/>
      <w:bidi w:val="0"/>
      <w:jc w:val="left"/>
    </w:pPr>
    <w:rPr>
      <w:rFonts w:ascii="Arial" w:hAnsi="Arial" w:eastAsia="Times New Roman" w:cs="Gautami"/>
      <w:color w:val="auto"/>
      <w:sz w:val="24"/>
      <w:szCs w:val="24"/>
      <w:lang w:bidi="te-IN" w:val="en-US" w:eastAsia="en-US"/>
    </w:rPr>
  </w:style>
  <w:style w:type="paragraph" w:styleId="Heading1">
    <w:name w:val="Heading 1"/>
    <w:basedOn w:val="Normal"/>
    <w:next w:val="Normal"/>
    <w:qFormat/>
    <w:rsid w:val="00e13233"/>
    <w:pPr>
      <w:keepNext/>
      <w:widowControl w:val="false"/>
      <w:outlineLvl w:val="0"/>
    </w:pPr>
    <w:rPr>
      <w:rFonts w:ascii="Times New Roman" w:hAnsi="Times New Roman"/>
      <w:b/>
      <w:bCs/>
      <w:color w:val="000000"/>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ee10e1"/>
    <w:rPr>
      <w:rFonts w:ascii="Arial" w:hAnsi="Arial" w:eastAsia="Times New Roman" w:cs="Gautami"/>
      <w:sz w:val="24"/>
      <w:szCs w:val="24"/>
      <w:lang w:bidi="te-IN"/>
    </w:rPr>
  </w:style>
  <w:style w:type="character" w:styleId="FooterChar" w:customStyle="1">
    <w:name w:val="Footer Char"/>
    <w:link w:val="Footer"/>
    <w:uiPriority w:val="99"/>
    <w:qFormat/>
    <w:rsid w:val="00ee10e1"/>
    <w:rPr>
      <w:rFonts w:ascii="Arial" w:hAnsi="Arial" w:eastAsia="Times New Roman" w:cs="Gautami"/>
      <w:sz w:val="24"/>
      <w:szCs w:val="24"/>
      <w:lang w:bidi="te-IN"/>
    </w:rPr>
  </w:style>
  <w:style w:type="character" w:styleId="BodyText2Char" w:customStyle="1">
    <w:name w:val="Body Text 2 Char"/>
    <w:link w:val="BodyText2"/>
    <w:qFormat/>
    <w:rsid w:val="000500e5"/>
    <w:rPr>
      <w:rFonts w:eastAsia="Times New Roman" w:cs="Gautami"/>
      <w:lang w:bidi="te-IN"/>
    </w:rPr>
  </w:style>
  <w:style w:type="character" w:styleId="BalloonTextChar" w:customStyle="1">
    <w:name w:val="Balloon Text Char"/>
    <w:link w:val="BalloonText"/>
    <w:qFormat/>
    <w:rsid w:val="00c5222a"/>
    <w:rPr>
      <w:rFonts w:ascii="Tahoma" w:hAnsi="Tahoma" w:eastAsia="Times New Roman" w:cs="Tahoma"/>
      <w:sz w:val="16"/>
      <w:szCs w:val="16"/>
      <w:lang w:bidi="te-IN"/>
    </w:rPr>
  </w:style>
  <w:style w:type="character" w:styleId="PlaceholderText">
    <w:name w:val="Placeholder Text"/>
    <w:basedOn w:val="DefaultParagraphFont"/>
    <w:uiPriority w:val="99"/>
    <w:semiHidden/>
    <w:qFormat/>
    <w:rsid w:val="00ba7490"/>
    <w:rPr>
      <w:color w:val="808080"/>
    </w:rPr>
  </w:style>
  <w:style w:type="character" w:styleId="CommentTextChar" w:customStyle="1">
    <w:name w:val="Comment Text Char"/>
    <w:basedOn w:val="DefaultParagraphFont"/>
    <w:link w:val="CommentText"/>
    <w:qFormat/>
    <w:rsid w:val="007d25a1"/>
    <w:rPr>
      <w:rFonts w:ascii="Arial" w:hAnsi="Arial" w:eastAsia="Times New Roman" w:cs="Gautami"/>
      <w:lang w:bidi="te-IN"/>
    </w:rPr>
  </w:style>
  <w:style w:type="character" w:styleId="Annotationreference">
    <w:name w:val="annotation reference"/>
    <w:uiPriority w:val="99"/>
    <w:unhideWhenUsed/>
    <w:qFormat/>
    <w:rsid w:val="007d25a1"/>
    <w:rPr>
      <w:sz w:val="16"/>
      <w:szCs w:val="16"/>
    </w:rPr>
  </w:style>
  <w:style w:type="character" w:styleId="Strong">
    <w:name w:val="Strong"/>
    <w:basedOn w:val="DefaultParagraphFont"/>
    <w:uiPriority w:val="22"/>
    <w:qFormat/>
    <w:rsid w:val="00f9562e"/>
    <w:rPr>
      <w:b/>
      <w:bCs/>
    </w:rPr>
  </w:style>
  <w:style w:type="character" w:styleId="Emphasis">
    <w:name w:val="Emphasis"/>
    <w:basedOn w:val="DefaultParagraphFont"/>
    <w:uiPriority w:val="20"/>
    <w:qFormat/>
    <w:rsid w:val="00f9562e"/>
    <w:rPr>
      <w:i/>
      <w:iCs/>
    </w:rPr>
  </w:style>
  <w:style w:type="character" w:styleId="CommentSubjectChar" w:customStyle="1">
    <w:name w:val="Comment Subject Char"/>
    <w:basedOn w:val="CommentTextChar"/>
    <w:link w:val="CommentSubject"/>
    <w:qFormat/>
    <w:rsid w:val="008e6e60"/>
    <w:rPr>
      <w:rFonts w:ascii="Arial" w:hAnsi="Arial" w:eastAsia="Times New Roman" w:cs="Gautami"/>
      <w:b/>
      <w:bCs/>
      <w:lang w:bidi="te-IN"/>
    </w:rPr>
  </w:style>
  <w:style w:type="character" w:styleId="InternetLink">
    <w:name w:val="Internet Link"/>
    <w:basedOn w:val="DefaultParagraphFont"/>
    <w:rsid w:val="00c17362"/>
    <w:rPr>
      <w:color w:val="0000FF" w:themeColor="hyperlink"/>
      <w:u w:val="single"/>
    </w:rPr>
  </w:style>
  <w:style w:type="character" w:styleId="PlainTextChar" w:customStyle="1">
    <w:name w:val="Plain Text Char"/>
    <w:basedOn w:val="DefaultParagraphFont"/>
    <w:link w:val="PlainText"/>
    <w:uiPriority w:val="99"/>
    <w:qFormat/>
    <w:rsid w:val="00b40b82"/>
    <w:rPr>
      <w:rFonts w:ascii="Calibri" w:hAnsi="Calibri" w:eastAsia="ＭＳ 明朝" w:cs="" w:cstheme="minorBidi" w:eastAsiaTheme="minorEastAsia"/>
      <w:sz w:val="22"/>
      <w:szCs w:val="21"/>
      <w:lang w:eastAsia="ja-JP"/>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ＭＳ 明朝" w:cs="Gautam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12"/>
      <w:szCs w:val="12"/>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MS Mincho" w:cs="Times New Roman"/>
      <w:sz w:val="22"/>
    </w:rPr>
  </w:style>
  <w:style w:type="character" w:styleId="ListLabel13">
    <w:name w:val="ListLabel 13"/>
    <w:qFormat/>
    <w:rPr>
      <w:rFonts w:cs="Courier New"/>
    </w:rPr>
  </w:style>
  <w:style w:type="character" w:styleId="ListLabel14">
    <w:name w:val="ListLabel 1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link w:val="BodyText2Char"/>
    <w:qFormat/>
    <w:rsid w:val="00e13233"/>
    <w:pPr>
      <w:jc w:val="both"/>
    </w:pPr>
    <w:rPr>
      <w:rFonts w:ascii="Times New Roman" w:hAnsi="Times New Roman"/>
      <w:sz w:val="20"/>
      <w:szCs w:val="20"/>
    </w:rPr>
  </w:style>
  <w:style w:type="paragraph" w:styleId="Header">
    <w:name w:val="Header"/>
    <w:basedOn w:val="Normal"/>
    <w:link w:val="HeaderChar"/>
    <w:uiPriority w:val="99"/>
    <w:rsid w:val="00ee10e1"/>
    <w:pPr>
      <w:tabs>
        <w:tab w:val="center" w:pos="4680" w:leader="none"/>
        <w:tab w:val="right" w:pos="9360" w:leader="none"/>
      </w:tabs>
    </w:pPr>
    <w:rPr/>
  </w:style>
  <w:style w:type="paragraph" w:styleId="Footer">
    <w:name w:val="Footer"/>
    <w:basedOn w:val="Normal"/>
    <w:link w:val="FooterChar"/>
    <w:uiPriority w:val="99"/>
    <w:rsid w:val="00ee10e1"/>
    <w:pPr>
      <w:tabs>
        <w:tab w:val="center" w:pos="4680" w:leader="none"/>
        <w:tab w:val="right" w:pos="9360" w:leader="none"/>
      </w:tabs>
    </w:pPr>
    <w:rPr/>
  </w:style>
  <w:style w:type="paragraph" w:styleId="NormalWeb">
    <w:name w:val="Normal (Web)"/>
    <w:basedOn w:val="Normal"/>
    <w:uiPriority w:val="99"/>
    <w:unhideWhenUsed/>
    <w:qFormat/>
    <w:rsid w:val="00dc40bd"/>
    <w:pPr>
      <w:spacing w:beforeAutospacing="1" w:afterAutospacing="1"/>
    </w:pPr>
    <w:rPr>
      <w:rFonts w:ascii="Times New Roman" w:hAnsi="Times New Roman" w:cs="Times New Roman"/>
      <w:lang w:bidi="ar-SA"/>
    </w:rPr>
  </w:style>
  <w:style w:type="paragraph" w:styleId="BalloonText">
    <w:name w:val="Balloon Text"/>
    <w:basedOn w:val="Normal"/>
    <w:link w:val="BalloonTextChar"/>
    <w:qFormat/>
    <w:rsid w:val="00c5222a"/>
    <w:pPr/>
    <w:rPr>
      <w:rFonts w:ascii="Tahoma" w:hAnsi="Tahoma" w:cs="Tahoma"/>
      <w:sz w:val="16"/>
      <w:szCs w:val="16"/>
    </w:rPr>
  </w:style>
  <w:style w:type="paragraph" w:styleId="Annotationtext">
    <w:name w:val="annotation text"/>
    <w:basedOn w:val="Normal"/>
    <w:link w:val="CommentTextChar"/>
    <w:qFormat/>
    <w:rsid w:val="007d25a1"/>
    <w:pPr/>
    <w:rPr>
      <w:sz w:val="20"/>
      <w:szCs w:val="20"/>
    </w:rPr>
  </w:style>
  <w:style w:type="paragraph" w:styleId="Annotationsubject">
    <w:name w:val="annotation subject"/>
    <w:basedOn w:val="Annotationtext"/>
    <w:link w:val="CommentSubjectChar"/>
    <w:qFormat/>
    <w:rsid w:val="008e6e60"/>
    <w:pPr/>
    <w:rPr>
      <w:b/>
      <w:bCs/>
    </w:rPr>
  </w:style>
  <w:style w:type="paragraph" w:styleId="Revision">
    <w:name w:val="Revision"/>
    <w:uiPriority w:val="99"/>
    <w:semiHidden/>
    <w:qFormat/>
    <w:rsid w:val="00ba3699"/>
    <w:pPr>
      <w:widowControl/>
      <w:bidi w:val="0"/>
      <w:jc w:val="left"/>
    </w:pPr>
    <w:rPr>
      <w:rFonts w:ascii="Arial" w:hAnsi="Arial" w:eastAsia="Times New Roman" w:cs="Gautami"/>
      <w:color w:val="auto"/>
      <w:sz w:val="24"/>
      <w:szCs w:val="24"/>
      <w:lang w:bidi="te-IN" w:val="en-US" w:eastAsia="en-US"/>
    </w:rPr>
  </w:style>
  <w:style w:type="paragraph" w:styleId="PlainText">
    <w:name w:val="Plain Text"/>
    <w:basedOn w:val="Normal"/>
    <w:link w:val="PlainTextChar"/>
    <w:uiPriority w:val="99"/>
    <w:unhideWhenUsed/>
    <w:qFormat/>
    <w:rsid w:val="00b40b82"/>
    <w:pPr/>
    <w:rPr>
      <w:rFonts w:ascii="Calibri" w:hAnsi="Calibri" w:eastAsia="ＭＳ 明朝" w:cs="" w:cstheme="minorBidi" w:eastAsiaTheme="minorEastAsia"/>
      <w:sz w:val="22"/>
      <w:szCs w:val="21"/>
      <w:lang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
    <w:name w:val="Light Shading"/>
    <w:basedOn w:val="TableNormal"/>
    <w:uiPriority w:val="60"/>
    <w:rsid w:val="000500e5"/>
    <w:rPr>
      <w:color w:val="000000"/>
      <w:sz w:val="22"/>
      <w:szCs w:val="22"/>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rsid w:val="006567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09B6E-6167-424C-9AA7-3B926A693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LibreOffice/5.1.4.2$Linux_X86_64 LibreOffice_project/10m0$Build-2</Application>
  <Pages>2</Pages>
  <Words>572</Words>
  <CharactersWithSpaces>3267</CharactersWithSpaces>
  <Paragraphs>7</Paragraphs>
  <Company>FDA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2015-04-29T19:35:00Z</dcterms:created>
  <dc:creator>zhanghui</dc:creator>
  <dc:description/>
  <cp:keywords>for CPT-PSP</cp:keywords>
  <dc:language>en-US</dc:language>
  <cp:lastModifiedBy>Yoshida, Kenta *</cp:lastModifiedBy>
  <cp:lastPrinted>2015-04-23T18:54:00Z</cp:lastPrinted>
  <dcterms:modified xsi:type="dcterms:W3CDTF">2015-04-30T16:53:00Z</dcterms:modified>
  <cp:revision>17</cp:revision>
  <dc:subject/>
  <dc:title>OI-DDI database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