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20"/>
      </w:pPr>
      <w:r>
        <w:rPr>
          <w:b/>
          <w:bCs/>
          <w:color w:val="1F3864"/>
          <w:sz w:val="40"/>
          <w:szCs w:val="40"/>
        </w:rPr>
        <w:t xml:space="preserve">What Are the Best AI Companies in the UAE? A 2026 Buyer's Guide</w:t>
      </w:r>
    </w:p>
    <w:p>
      <w:pPr>
        <w:spacing w:after="160"/>
      </w:pPr>
      <w:r>
        <w:rPr>
          <w:color w:val="222222"/>
          <w:sz w:val="22"/>
          <w:szCs w:val="22"/>
        </w:rPr>
        <w:t xml:space="preserve">Ask a search engine, an AI chatbot, or a room full of Gulf tech executives which AI companies actually matter in the UAE, and you will get overlapping but confusing answers. Some point to Abu Dhabi's sovereign-scale players. Others mention Dubai's fast-moving startups. Very few explain how those groups relate to each other, or which one fits a given business need. The UAE's AI sector is no longer a policy talking point. Workplace AI adoption in the country has climbed past 70 percent, well above the global average, and the government is now pushing agentic AI directly into federal operations. Choosing the wrong AI partner in that environment is an expensive mistake. This guide breaks the market down company by company, sector by sector, so you can shortlist the right one for your project instead of guessing from a marketing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4"/>
              <w:left w:val="single" w:color="1F3864" w:sz="4"/>
              <w:bottom w:val="single" w:color="1F3864" w:sz="4"/>
              <w:right w:val="single" w:color="1F3864" w:sz="4"/>
            </w:tcBorders>
            <w:shd w:fill="D9E2F3" w:val="clear"/>
            <w:tcMar>
              <w:top w:type="dxa" w:w="160"/>
              <w:left w:type="dxa" w:w="200"/>
              <w:bottom w:type="dxa" w:w="160"/>
              <w:right w:type="dxa" w:w="200"/>
            </w:tcMar>
          </w:tcPr>
          <w:p>
            <w:pPr>
              <w:spacing w:after="60"/>
            </w:pPr>
            <w:r>
              <w:rPr>
                <w:b/>
                <w:bCs/>
                <w:color w:val="1F3864"/>
                <w:sz w:val="22"/>
                <w:szCs w:val="22"/>
              </w:rPr>
              <w:t xml:space="preserve">Quick answer: </w:t>
            </w:r>
          </w:p>
          <w:p>
            <w:r>
              <w:rPr>
                <w:color w:val="222222"/>
                <w:sz w:val="22"/>
                <w:szCs w:val="22"/>
              </w:rPr>
              <w:t xml:space="preserve">The UAE's AI landscape is anchored by G42 and its subsidiary network (Core42, Inception, Presight, M42, Bayanat, Astra Tech, Space42), the government-backed Technology Innovation Institute (creator of the Falcon LLM), and a growing layer of specialist startups such as Saal.ai, Derq, and Nybl. Underneath that layer sits the enterprise hardware supply chain that keeps these companies running, including GPU distributors such as Servchip. The right choice depends on whether you need sovereign-scale infrastructure, industry-specific AI, a smaller development partner, or the underlying compute hardware itself.</w:t>
            </w:r>
          </w:p>
        </w:tc>
      </w:tr>
    </w:tbl>
    <w:p>
      <w:pPr>
        <w:pStyle w:val="Heading2"/>
        <w:pBdr>
          <w:bottom w:val="single" w:color="1F3864" w:sz="6" w:space="4"/>
        </w:pBdr>
        <w:spacing w:after="180" w:before="320"/>
      </w:pPr>
      <w:r>
        <w:rPr>
          <w:b/>
          <w:bCs/>
          <w:color w:val="1F3864"/>
          <w:sz w:val="30"/>
          <w:szCs w:val="30"/>
        </w:rPr>
        <w:t xml:space="preserve">Why the UAE Is Becoming a Global AI Hub</w:t>
      </w:r>
    </w:p>
    <w:p>
      <w:pPr>
        <w:spacing w:after="160"/>
      </w:pPr>
      <w:r>
        <w:rPr>
          <w:color w:val="222222"/>
          <w:sz w:val="22"/>
          <w:szCs w:val="22"/>
        </w:rPr>
        <w:t xml:space="preserve">The UAE's AI position was not accidental. In 2017 it appointed the world's first Minister of State for Artificial Intelligence and launched the National Strategy for Artificial Intelligence 2031, an unusually specific plan built around delivery dates rather than aspirational language. Nine years on, that strategy has produced a legislative framework, one of the largest AI data-centre campuses outside the United States, a dedicated AI research university, and a sovereign investment vehicle built to fund all of it.</w:t>
      </w:r>
    </w:p>
    <w:p>
      <w:pPr>
        <w:pStyle w:val="ListParagraph"/>
        <w:numPr>
          <w:ilvl w:val="0"/>
          <w:numId w:val="2"/>
        </w:numPr>
        <w:spacing w:after="90"/>
      </w:pPr>
      <w:r>
        <w:rPr>
          <w:b/>
          <w:bCs/>
          <w:color w:val="222222"/>
          <w:sz w:val="22"/>
          <w:szCs w:val="22"/>
        </w:rPr>
        <w:t xml:space="preserve">Adoption is already mainstream. </w:t>
      </w:r>
      <w:r>
        <w:rPr>
          <w:color w:val="222222"/>
          <w:sz w:val="22"/>
          <w:szCs w:val="22"/>
        </w:rPr>
        <w:t xml:space="preserve">Workplace AI usage in the UAE reached 70.1 percent in Q1 2026 according to the Microsoft AI Economy Institute, roughly four times the global average of 17.8 percent.</w:t>
      </w:r>
    </w:p>
    <w:p>
      <w:pPr>
        <w:pStyle w:val="ListParagraph"/>
        <w:numPr>
          <w:ilvl w:val="0"/>
          <w:numId w:val="2"/>
        </w:numPr>
        <w:spacing w:after="90"/>
      </w:pPr>
      <w:r>
        <w:rPr>
          <w:b/>
          <w:bCs/>
          <w:color w:val="222222"/>
          <w:sz w:val="22"/>
          <w:szCs w:val="22"/>
        </w:rPr>
        <w:t xml:space="preserve">Government is moving from policy to deployment. </w:t>
      </w:r>
      <w:r>
        <w:rPr>
          <w:color w:val="222222"/>
          <w:sz w:val="22"/>
          <w:szCs w:val="22"/>
        </w:rPr>
        <w:t xml:space="preserve">The UAE Cabinet approved a framework in 2026 to roll out agentic AI across government ministries in phases, following years of digital-government groundwork through UAE Pass and proactive services.</w:t>
      </w:r>
    </w:p>
    <w:p>
      <w:pPr>
        <w:pStyle w:val="ListParagraph"/>
        <w:numPr>
          <w:ilvl w:val="0"/>
          <w:numId w:val="2"/>
        </w:numPr>
        <w:spacing w:after="90"/>
      </w:pPr>
      <w:r>
        <w:rPr>
          <w:b/>
          <w:bCs/>
          <w:color w:val="222222"/>
          <w:sz w:val="22"/>
          <w:szCs w:val="22"/>
        </w:rPr>
        <w:t xml:space="preserve">Capital is flowing at sovereign scale. </w:t>
      </w:r>
      <w:r>
        <w:rPr>
          <w:color w:val="222222"/>
          <w:sz w:val="22"/>
          <w:szCs w:val="22"/>
        </w:rPr>
        <w:t xml:space="preserve">Abu Dhabi's flagship AI group, G42, closed a $1.5 billion strategic investment from Microsoft in 2024 and has since expanded AI infrastructure programs into Europe, Kenya, and the United States.</w:t>
      </w:r>
    </w:p>
    <w:p>
      <w:pPr>
        <w:pStyle w:val="ListParagraph"/>
        <w:numPr>
          <w:ilvl w:val="0"/>
          <w:numId w:val="2"/>
        </w:numPr>
        <w:spacing w:after="90"/>
      </w:pPr>
      <w:r>
        <w:rPr>
          <w:b/>
          <w:bCs/>
          <w:color w:val="222222"/>
          <w:sz w:val="22"/>
          <w:szCs w:val="22"/>
        </w:rPr>
        <w:t xml:space="preserve">Governance is deliberately adoption-friendly. </w:t>
      </w:r>
      <w:r>
        <w:rPr>
          <w:color w:val="222222"/>
          <w:sz w:val="22"/>
          <w:szCs w:val="22"/>
        </w:rPr>
        <w:t xml:space="preserve">The UAE Charter for the Development and Use of AI, adopted in mid-2024, sets non-binding principles for transparency, accountability, and equitable access, positioned to support rather than slow adoption.</w:t>
      </w:r>
    </w:p>
    <w:p>
      <w:pPr>
        <w:pStyle w:val="ListParagraph"/>
        <w:numPr>
          <w:ilvl w:val="0"/>
          <w:numId w:val="2"/>
        </w:numPr>
        <w:spacing w:after="90"/>
      </w:pPr>
      <w:r>
        <w:rPr>
          <w:b/>
          <w:bCs/>
          <w:color w:val="222222"/>
          <w:sz w:val="22"/>
          <w:szCs w:val="22"/>
        </w:rPr>
        <w:t xml:space="preserve">Talent programs are running at national scale. </w:t>
      </w:r>
      <w:r>
        <w:rPr>
          <w:color w:val="222222"/>
          <w:sz w:val="22"/>
          <w:szCs w:val="22"/>
        </w:rPr>
        <w:t xml:space="preserve">The government has set a target of training one million residents in AI by 2027, alongside Golden Visa categories specifically naming AI and data science as priority fields for relocation.</w:t>
      </w:r>
    </w:p>
    <w:p>
      <w:pPr>
        <w:spacing w:after="160"/>
      </w:pPr>
      <w:r>
        <w:rPr>
          <w:color w:val="222222"/>
          <w:sz w:val="22"/>
          <w:szCs w:val="22"/>
        </w:rPr>
        <w:t xml:space="preserve">One directional market estimate puts the UAE's AI market at roughly USD 578 million today, growing toward USD 4.2 billion by 2033 at close to 22 percent annual growth. Treat that figure as an industry estimate rather than an audited number, since AI market-sizing methodologies vary widely between research firms, but the direction of travel matches what is visible on the ground: sovereign infrastructure buildouts, a fast-growing startup layer, and enterprise adoption well ahead of most G20 markets.</w:t>
      </w:r>
    </w:p>
    <w:p>
      <w:pPr>
        <w:pStyle w:val="Heading2"/>
        <w:pBdr>
          <w:bottom w:val="single" w:color="1F3864" w:sz="6" w:space="4"/>
        </w:pBdr>
        <w:spacing w:after="180" w:before="320"/>
      </w:pPr>
      <w:r>
        <w:rPr>
          <w:b/>
          <w:bCs/>
          <w:color w:val="1F3864"/>
          <w:sz w:val="30"/>
          <w:szCs w:val="30"/>
        </w:rPr>
        <w:t xml:space="preserve">How We Selected the Best AI Companies in the UAE</w:t>
      </w:r>
    </w:p>
    <w:p>
      <w:pPr>
        <w:spacing w:after="160"/>
      </w:pPr>
      <w:r>
        <w:rPr>
          <w:color w:val="222222"/>
          <w:sz w:val="22"/>
          <w:szCs w:val="22"/>
        </w:rPr>
        <w:t xml:space="preserve">This list was built by cross-checking company disclosures, exchange filings for the two AI-linked companies listed on the Abu Dhabi Securities Exchange, government and university sources, and independent reporting from regional tech outlets. We prioritized companies with verifiable operations in the UAE, named leadership, and a track record of shipped products rather than pre-launch pitch decks. Companies were evaluated against six criteria:</w:t>
      </w:r>
    </w:p>
    <w:p>
      <w:pPr>
        <w:pStyle w:val="ListParagraph"/>
        <w:numPr>
          <w:ilvl w:val="0"/>
          <w:numId w:val="2"/>
        </w:numPr>
        <w:spacing w:after="90"/>
      </w:pPr>
      <w:r>
        <w:rPr>
          <w:b/>
          <w:bCs/>
          <w:color w:val="222222"/>
          <w:sz w:val="22"/>
          <w:szCs w:val="22"/>
        </w:rPr>
        <w:t xml:space="preserve">Innovation and proven deployment: </w:t>
      </w:r>
      <w:r>
        <w:rPr>
          <w:color w:val="222222"/>
          <w:sz w:val="22"/>
          <w:szCs w:val="22"/>
        </w:rPr>
        <w:t xml:space="preserve">Whether the company has deployed AI systems in production, not just in pilot.</w:t>
      </w:r>
    </w:p>
    <w:p>
      <w:pPr>
        <w:pStyle w:val="ListParagraph"/>
        <w:numPr>
          <w:ilvl w:val="0"/>
          <w:numId w:val="2"/>
        </w:numPr>
        <w:spacing w:after="90"/>
      </w:pPr>
      <w:r>
        <w:rPr>
          <w:b/>
          <w:bCs/>
          <w:color w:val="222222"/>
          <w:sz w:val="22"/>
          <w:szCs w:val="22"/>
        </w:rPr>
        <w:t xml:space="preserve">Industry expertise: </w:t>
      </w:r>
      <w:r>
        <w:rPr>
          <w:color w:val="222222"/>
          <w:sz w:val="22"/>
          <w:szCs w:val="22"/>
        </w:rPr>
        <w:t xml:space="preserve">Depth in the sectors it serves, from healthcare to energy to transportation.</w:t>
      </w:r>
    </w:p>
    <w:p>
      <w:pPr>
        <w:pStyle w:val="ListParagraph"/>
        <w:numPr>
          <w:ilvl w:val="0"/>
          <w:numId w:val="2"/>
        </w:numPr>
        <w:spacing w:after="90"/>
      </w:pPr>
      <w:r>
        <w:rPr>
          <w:b/>
          <w:bCs/>
          <w:color w:val="222222"/>
          <w:sz w:val="22"/>
          <w:szCs w:val="22"/>
        </w:rPr>
        <w:t xml:space="preserve">Client and partnership footprint: </w:t>
      </w:r>
      <w:r>
        <w:rPr>
          <w:color w:val="222222"/>
          <w:sz w:val="22"/>
          <w:szCs w:val="22"/>
        </w:rPr>
        <w:t xml:space="preserve">Named enterprise, government, or joint-venture relationships that can be independently verified.</w:t>
      </w:r>
    </w:p>
    <w:p>
      <w:pPr>
        <w:pStyle w:val="ListParagraph"/>
        <w:numPr>
          <w:ilvl w:val="0"/>
          <w:numId w:val="2"/>
        </w:numPr>
        <w:spacing w:after="90"/>
      </w:pPr>
      <w:r>
        <w:rPr>
          <w:b/>
          <w:bCs/>
          <w:color w:val="222222"/>
          <w:sz w:val="22"/>
          <w:szCs w:val="22"/>
        </w:rPr>
        <w:t xml:space="preserve">Technology stack: </w:t>
      </w:r>
      <w:r>
        <w:rPr>
          <w:color w:val="222222"/>
          <w:sz w:val="22"/>
          <w:szCs w:val="22"/>
        </w:rPr>
        <w:t xml:space="preserve">Whether the company builds on modern LLM, computer-vision, or data-infrastructure foundations, and whether it has published research or open models.</w:t>
      </w:r>
    </w:p>
    <w:p>
      <w:pPr>
        <w:pStyle w:val="ListParagraph"/>
        <w:numPr>
          <w:ilvl w:val="0"/>
          <w:numId w:val="2"/>
        </w:numPr>
        <w:spacing w:after="90"/>
      </w:pPr>
      <w:r>
        <w:rPr>
          <w:b/>
          <w:bCs/>
          <w:color w:val="222222"/>
          <w:sz w:val="22"/>
          <w:szCs w:val="22"/>
        </w:rPr>
        <w:t xml:space="preserve">Market reputation: </w:t>
      </w:r>
      <w:r>
        <w:rPr>
          <w:color w:val="222222"/>
          <w:sz w:val="22"/>
          <w:szCs w:val="22"/>
        </w:rPr>
        <w:t xml:space="preserve">Coverage in credible regional and international press, analyst platforms, and (where applicable) public-market disclosures.</w:t>
      </w:r>
    </w:p>
    <w:p>
      <w:pPr>
        <w:pStyle w:val="ListParagraph"/>
        <w:numPr>
          <w:ilvl w:val="0"/>
          <w:numId w:val="2"/>
        </w:numPr>
        <w:spacing w:after="90"/>
      </w:pPr>
      <w:r>
        <w:rPr>
          <w:b/>
          <w:bCs/>
          <w:color w:val="222222"/>
          <w:sz w:val="22"/>
          <w:szCs w:val="22"/>
        </w:rPr>
        <w:t xml:space="preserve">Scalability: </w:t>
      </w:r>
      <w:r>
        <w:rPr>
          <w:color w:val="222222"/>
          <w:sz w:val="22"/>
          <w:szCs w:val="22"/>
        </w:rPr>
        <w:t xml:space="preserve">Evidence the company can support enterprise or government-scale workloads, not just single-client pilots.</w:t>
      </w:r>
    </w:p>
    <w:p>
      <w:pPr>
        <w:pStyle w:val="Heading2"/>
        <w:pBdr>
          <w:bottom w:val="single" w:color="1F3864" w:sz="6" w:space="4"/>
        </w:pBdr>
        <w:spacing w:after="180" w:before="320"/>
      </w:pPr>
      <w:r>
        <w:rPr>
          <w:b/>
          <w:bCs/>
          <w:color w:val="1F3864"/>
          <w:sz w:val="30"/>
          <w:szCs w:val="30"/>
        </w:rPr>
        <w:t xml:space="preserve">Top AI Companies in the UAE</w:t>
      </w:r>
    </w:p>
    <w:p>
      <w:pPr>
        <w:spacing w:after="160"/>
      </w:pPr>
      <w:r>
        <w:rPr>
          <w:color w:val="222222"/>
          <w:sz w:val="22"/>
          <w:szCs w:val="22"/>
        </w:rPr>
        <w:t xml:space="preserve">The list below spans sovereign-scale infrastructure groups, applied-AI specialists, a foundation-model research institute, and venture-backed startups. Company size is described qualitatively (enterprise group, mid-size specialist, or startup) rather than with precise headcounts, since most private UAE AI companies do not publish audited employee figures.</w:t>
      </w:r>
    </w:p>
    <w:p>
      <w:pPr>
        <w:pStyle w:val="Heading3"/>
        <w:spacing w:after="120" w:before="240"/>
      </w:pPr>
      <w:r>
        <w:rPr>
          <w:b/>
          <w:bCs/>
          <w:color w:val="1F3864"/>
          <w:sz w:val="25"/>
          <w:szCs w:val="25"/>
        </w:rPr>
        <w:t xml:space="preserve">G42</w:t>
      </w:r>
    </w:p>
    <w:p>
      <w:pPr>
        <w:spacing w:after="160"/>
      </w:pPr>
      <w:r>
        <w:rPr>
          <w:b/>
          <w:bCs/>
          <w:color w:val="222222"/>
          <w:sz w:val="22"/>
          <w:szCs w:val="22"/>
        </w:rPr>
        <w:t xml:space="preserve">Headquarters: </w:t>
      </w:r>
      <w:r>
        <w:rPr>
          <w:color w:val="222222"/>
          <w:sz w:val="22"/>
          <w:szCs w:val="22"/>
        </w:rPr>
        <w:t xml:space="preserve">Abu Dhabi, UAE</w:t>
      </w:r>
    </w:p>
    <w:p>
      <w:pPr>
        <w:spacing w:after="160"/>
      </w:pPr>
      <w:r>
        <w:rPr>
          <w:color w:val="222222"/>
          <w:sz w:val="22"/>
          <w:szCs w:val="22"/>
        </w:rPr>
        <w:t xml:space="preserve">G42 is the UAE's flagship AI enterprise and the parent group behind most of the country's largest AI ventures. It operates across data infrastructure, large language models, satellite intelligence, and healthcare analytics through a portfolio of subsidiaries, and closed a $1.5 billion strategic investment from Microsoft in 2024.</w:t>
      </w:r>
    </w:p>
    <w:p>
      <w:pPr>
        <w:spacing w:after="160"/>
      </w:pPr>
      <w:r>
        <w:rPr>
          <w:b/>
          <w:bCs/>
          <w:color w:val="222222"/>
          <w:sz w:val="22"/>
          <w:szCs w:val="22"/>
        </w:rPr>
        <w:t xml:space="preserve">Core services: </w:t>
      </w:r>
      <w:r>
        <w:rPr>
          <w:color w:val="222222"/>
          <w:sz w:val="22"/>
          <w:szCs w:val="22"/>
        </w:rPr>
        <w:t xml:space="preserve">Sovereign AI infrastructure, enterprise AI deployment, group-level strategy and capital allocation across its subsidiary network.</w:t>
      </w:r>
    </w:p>
    <w:p>
      <w:pPr>
        <w:spacing w:after="160"/>
      </w:pPr>
      <w:r>
        <w:rPr>
          <w:b/>
          <w:bCs/>
          <w:color w:val="222222"/>
          <w:sz w:val="22"/>
          <w:szCs w:val="22"/>
        </w:rPr>
        <w:t xml:space="preserve">AI specialties: </w:t>
      </w:r>
      <w:r>
        <w:rPr>
          <w:color w:val="222222"/>
          <w:sz w:val="22"/>
          <w:szCs w:val="22"/>
        </w:rPr>
        <w:t xml:space="preserve">Large language models (Jais, developed with MBZUAI and Cerebras), sovereign cloud, healthcare AI, geospatial intelligence.</w:t>
      </w:r>
    </w:p>
    <w:p>
      <w:pPr>
        <w:spacing w:after="160"/>
      </w:pPr>
      <w:r>
        <w:rPr>
          <w:b/>
          <w:bCs/>
          <w:color w:val="222222"/>
          <w:sz w:val="22"/>
          <w:szCs w:val="22"/>
        </w:rPr>
        <w:t xml:space="preserve">Industries served: </w:t>
      </w:r>
      <w:r>
        <w:rPr>
          <w:color w:val="222222"/>
          <w:sz w:val="22"/>
          <w:szCs w:val="22"/>
        </w:rPr>
        <w:t xml:space="preserve">Government, healthcare, finance, energy, telecommunications.</w:t>
      </w:r>
    </w:p>
    <w:p>
      <w:pPr>
        <w:spacing w:after="160"/>
      </w:pPr>
      <w:r>
        <w:rPr>
          <w:b/>
          <w:bCs/>
          <w:color w:val="222222"/>
          <w:sz w:val="22"/>
          <w:szCs w:val="22"/>
        </w:rPr>
        <w:t xml:space="preserve">Why it stands out: </w:t>
      </w:r>
      <w:r>
        <w:rPr>
          <w:color w:val="222222"/>
          <w:sz w:val="22"/>
          <w:szCs w:val="22"/>
        </w:rPr>
        <w:t xml:space="preserve">It is the only UAE AI group operating at genuine sovereign scale, with a subsidiary network that covers infrastructure, applied AI, healthcare, and space intelligence under one strategic umbrella, plus deep ties to Microsoft and OpenAI on compute partnerships.</w:t>
      </w:r>
    </w:p>
    <w:p>
      <w:pPr>
        <w:spacing w:after="160"/>
      </w:pPr>
      <w:r>
        <w:rPr>
          <w:b/>
          <w:bCs/>
          <w:color w:val="222222"/>
          <w:sz w:val="22"/>
          <w:szCs w:val="22"/>
        </w:rPr>
        <w:t xml:space="preserve">Website: </w:t>
      </w:r>
      <w:r>
        <w:rPr>
          <w:color w:val="222222"/>
          <w:sz w:val="22"/>
          <w:szCs w:val="22"/>
        </w:rPr>
        <w:t xml:space="preserve">g42.ai</w:t>
      </w:r>
    </w:p>
    <w:p>
      <w:pPr>
        <w:pStyle w:val="Heading3"/>
        <w:spacing w:after="120" w:before="240"/>
      </w:pPr>
      <w:r>
        <w:rPr>
          <w:b/>
          <w:bCs/>
          <w:color w:val="1F3864"/>
          <w:sz w:val="25"/>
          <w:szCs w:val="25"/>
        </w:rPr>
        <w:t xml:space="preserve">Core42</w:t>
      </w:r>
    </w:p>
    <w:p>
      <w:pPr>
        <w:spacing w:after="160"/>
      </w:pPr>
      <w:r>
        <w:rPr>
          <w:b/>
          <w:bCs/>
          <w:color w:val="222222"/>
          <w:sz w:val="22"/>
          <w:szCs w:val="22"/>
        </w:rPr>
        <w:t xml:space="preserve">Headquarters: </w:t>
      </w:r>
      <w:r>
        <w:rPr>
          <w:color w:val="222222"/>
          <w:sz w:val="22"/>
          <w:szCs w:val="22"/>
        </w:rPr>
        <w:t xml:space="preserve">Abu Dhabi, UAE</w:t>
      </w:r>
    </w:p>
    <w:p>
      <w:pPr>
        <w:spacing w:after="160"/>
      </w:pPr>
      <w:r>
        <w:rPr>
          <w:color w:val="222222"/>
          <w:sz w:val="22"/>
          <w:szCs w:val="22"/>
        </w:rPr>
        <w:t xml:space="preserve">Core42 is G42's sovereign cloud and enterprise AI arm, formed by merging G42 Cloud, Inception's infrastructure layer, and Injazat. It runs substantial Nvidia H100 and H200 GPU capacity, making it the compute backbone for much of the country's AI activity.</w:t>
      </w:r>
    </w:p>
    <w:p>
      <w:pPr>
        <w:spacing w:after="160"/>
      </w:pPr>
      <w:r>
        <w:rPr>
          <w:b/>
          <w:bCs/>
          <w:color w:val="222222"/>
          <w:sz w:val="22"/>
          <w:szCs w:val="22"/>
        </w:rPr>
        <w:t xml:space="preserve">Core services: </w:t>
      </w:r>
      <w:r>
        <w:rPr>
          <w:color w:val="222222"/>
          <w:sz w:val="22"/>
          <w:szCs w:val="22"/>
        </w:rPr>
        <w:t xml:space="preserve">Sovereign cloud hosting, GPU infrastructure-as-a-service, enterprise AI platform delivery, compliant data residency.</w:t>
      </w:r>
    </w:p>
    <w:p>
      <w:pPr>
        <w:spacing w:after="160"/>
      </w:pPr>
      <w:r>
        <w:rPr>
          <w:b/>
          <w:bCs/>
          <w:color w:val="222222"/>
          <w:sz w:val="22"/>
          <w:szCs w:val="22"/>
        </w:rPr>
        <w:t xml:space="preserve">AI specialties: </w:t>
      </w:r>
      <w:r>
        <w:rPr>
          <w:color w:val="222222"/>
          <w:sz w:val="22"/>
          <w:szCs w:val="22"/>
        </w:rPr>
        <w:t xml:space="preserve">Large-scale GPU compute, sovereign AI infrastructure, regulated-industry cloud deployments.</w:t>
      </w:r>
    </w:p>
    <w:p>
      <w:pPr>
        <w:spacing w:after="160"/>
      </w:pPr>
      <w:r>
        <w:rPr>
          <w:b/>
          <w:bCs/>
          <w:color w:val="222222"/>
          <w:sz w:val="22"/>
          <w:szCs w:val="22"/>
        </w:rPr>
        <w:t xml:space="preserve">Industries served: </w:t>
      </w:r>
      <w:r>
        <w:rPr>
          <w:color w:val="222222"/>
          <w:sz w:val="22"/>
          <w:szCs w:val="22"/>
        </w:rPr>
        <w:t xml:space="preserve">Government, banking, healthcare, and any enterprise with UAE data-residency requirements.</w:t>
      </w:r>
    </w:p>
    <w:p>
      <w:pPr>
        <w:spacing w:after="160"/>
      </w:pPr>
      <w:r>
        <w:rPr>
          <w:b/>
          <w:bCs/>
          <w:color w:val="222222"/>
          <w:sz w:val="22"/>
          <w:szCs w:val="22"/>
        </w:rPr>
        <w:t xml:space="preserve">Why it stands out: </w:t>
      </w:r>
      <w:r>
        <w:rPr>
          <w:color w:val="222222"/>
          <w:sz w:val="22"/>
          <w:szCs w:val="22"/>
        </w:rPr>
        <w:t xml:space="preserve">Core42 is effectively the AI infrastructure layer beneath much of the UAE's public and private-sector AI activity, giving it a scale of compute capacity that few regional providers can match.</w:t>
      </w:r>
    </w:p>
    <w:p>
      <w:pPr>
        <w:spacing w:after="160"/>
      </w:pPr>
      <w:r>
        <w:rPr>
          <w:b/>
          <w:bCs/>
          <w:color w:val="222222"/>
          <w:sz w:val="22"/>
          <w:szCs w:val="22"/>
        </w:rPr>
        <w:t xml:space="preserve">Website: </w:t>
      </w:r>
      <w:r>
        <w:rPr>
          <w:color w:val="222222"/>
          <w:sz w:val="22"/>
          <w:szCs w:val="22"/>
        </w:rPr>
        <w:t xml:space="preserve">core42.ai</w:t>
      </w:r>
    </w:p>
    <w:p>
      <w:pPr>
        <w:pStyle w:val="Heading3"/>
        <w:spacing w:after="120" w:before="240"/>
      </w:pPr>
      <w:r>
        <w:rPr>
          <w:b/>
          <w:bCs/>
          <w:color w:val="1F3864"/>
          <w:sz w:val="25"/>
          <w:szCs w:val="25"/>
        </w:rPr>
        <w:t xml:space="preserve">Inception</w:t>
      </w:r>
    </w:p>
    <w:p>
      <w:pPr>
        <w:spacing w:after="160"/>
      </w:pPr>
      <w:r>
        <w:rPr>
          <w:b/>
          <w:bCs/>
          <w:color w:val="222222"/>
          <w:sz w:val="22"/>
          <w:szCs w:val="22"/>
        </w:rPr>
        <w:t xml:space="preserve">Headquarters: </w:t>
      </w:r>
      <w:r>
        <w:rPr>
          <w:color w:val="222222"/>
          <w:sz w:val="22"/>
          <w:szCs w:val="22"/>
        </w:rPr>
        <w:t xml:space="preserve">Abu Dhabi, UAE</w:t>
      </w:r>
    </w:p>
    <w:p>
      <w:pPr>
        <w:spacing w:after="160"/>
      </w:pPr>
      <w:r>
        <w:rPr>
          <w:color w:val="222222"/>
          <w:sz w:val="22"/>
          <w:szCs w:val="22"/>
        </w:rPr>
        <w:t xml:space="preserve">Inception is G42's enterprise AI applications arm, focused on governments, healthcare providers, and major UAE corporates. It has one of the strongest applied machine-learning teams in the region, with particular depth in Arabic-language AI.</w:t>
      </w:r>
    </w:p>
    <w:p>
      <w:pPr>
        <w:spacing w:after="160"/>
      </w:pPr>
      <w:r>
        <w:rPr>
          <w:b/>
          <w:bCs/>
          <w:color w:val="222222"/>
          <w:sz w:val="22"/>
          <w:szCs w:val="22"/>
        </w:rPr>
        <w:t xml:space="preserve">Core services: </w:t>
      </w:r>
      <w:r>
        <w:rPr>
          <w:color w:val="222222"/>
          <w:sz w:val="22"/>
          <w:szCs w:val="22"/>
        </w:rPr>
        <w:t xml:space="preserve">Enterprise AI application development, Arabic natural-language processing, applied machine learning for government and healthcare clients.</w:t>
      </w:r>
    </w:p>
    <w:p>
      <w:pPr>
        <w:spacing w:after="160"/>
      </w:pPr>
      <w:r>
        <w:rPr>
          <w:b/>
          <w:bCs/>
          <w:color w:val="222222"/>
          <w:sz w:val="22"/>
          <w:szCs w:val="22"/>
        </w:rPr>
        <w:t xml:space="preserve">AI specialties: </w:t>
      </w:r>
      <w:r>
        <w:rPr>
          <w:color w:val="222222"/>
          <w:sz w:val="22"/>
          <w:szCs w:val="22"/>
        </w:rPr>
        <w:t xml:space="preserve">Arabic NLP, applied enterprise AI, healthcare and government AI applications.</w:t>
      </w:r>
    </w:p>
    <w:p>
      <w:pPr>
        <w:spacing w:after="160"/>
      </w:pPr>
      <w:r>
        <w:rPr>
          <w:b/>
          <w:bCs/>
          <w:color w:val="222222"/>
          <w:sz w:val="22"/>
          <w:szCs w:val="22"/>
        </w:rPr>
        <w:t xml:space="preserve">Industries served: </w:t>
      </w:r>
      <w:r>
        <w:rPr>
          <w:color w:val="222222"/>
          <w:sz w:val="22"/>
          <w:szCs w:val="22"/>
        </w:rPr>
        <w:t xml:space="preserve">Government, healthcare, large UAE corporates.</w:t>
      </w:r>
    </w:p>
    <w:p>
      <w:pPr>
        <w:spacing w:after="160"/>
      </w:pPr>
      <w:r>
        <w:rPr>
          <w:b/>
          <w:bCs/>
          <w:color w:val="222222"/>
          <w:sz w:val="22"/>
          <w:szCs w:val="22"/>
        </w:rPr>
        <w:t xml:space="preserve">Why it stands out: </w:t>
      </w:r>
      <w:r>
        <w:rPr>
          <w:color w:val="222222"/>
          <w:sz w:val="22"/>
          <w:szCs w:val="22"/>
        </w:rPr>
        <w:t xml:space="preserve">Inception's Arabic-language depth is difficult to replicate; it was a lead contributor to Jais, one of the most capable open Arabic-English LLMs available.</w:t>
      </w:r>
    </w:p>
    <w:p>
      <w:pPr>
        <w:spacing w:after="160"/>
      </w:pPr>
      <w:r>
        <w:rPr>
          <w:b/>
          <w:bCs/>
          <w:color w:val="222222"/>
          <w:sz w:val="22"/>
          <w:szCs w:val="22"/>
        </w:rPr>
        <w:t xml:space="preserve">Website: </w:t>
      </w:r>
      <w:r>
        <w:rPr>
          <w:color w:val="222222"/>
          <w:sz w:val="22"/>
          <w:szCs w:val="22"/>
        </w:rPr>
        <w:t xml:space="preserve">inceptioniai.org</w:t>
      </w:r>
    </w:p>
    <w:p>
      <w:pPr>
        <w:pStyle w:val="Heading3"/>
        <w:spacing w:after="120" w:before="240"/>
      </w:pPr>
      <w:r>
        <w:rPr>
          <w:b/>
          <w:bCs/>
          <w:color w:val="1F3864"/>
          <w:sz w:val="25"/>
          <w:szCs w:val="25"/>
        </w:rPr>
        <w:t xml:space="preserve">Presight</w:t>
      </w:r>
    </w:p>
    <w:p>
      <w:pPr>
        <w:spacing w:after="160"/>
      </w:pPr>
      <w:r>
        <w:rPr>
          <w:b/>
          <w:bCs/>
          <w:color w:val="222222"/>
          <w:sz w:val="22"/>
          <w:szCs w:val="22"/>
        </w:rPr>
        <w:t xml:space="preserve">Headquarters: </w:t>
      </w:r>
      <w:r>
        <w:rPr>
          <w:color w:val="222222"/>
          <w:sz w:val="22"/>
          <w:szCs w:val="22"/>
        </w:rPr>
        <w:t xml:space="preserve">Abu Dhabi, UAE</w:t>
      </w:r>
    </w:p>
    <w:p>
      <w:pPr>
        <w:spacing w:after="160"/>
      </w:pPr>
      <w:r>
        <w:rPr>
          <w:color w:val="222222"/>
          <w:sz w:val="22"/>
          <w:szCs w:val="22"/>
        </w:rPr>
        <w:t xml:space="preserve">Presight is the G42 group's generative AI and decision-intelligence company, listed on the Abu Dhabi Securities Exchange. Its Enterprise AI Suite (Vitruvian and Connect) supports on-premise, cloud, and air-gapped deployments, with Connect hosted locally in the UAE for regulated buyers.</w:t>
      </w:r>
    </w:p>
    <w:p>
      <w:pPr>
        <w:spacing w:after="160"/>
      </w:pPr>
      <w:r>
        <w:rPr>
          <w:b/>
          <w:bCs/>
          <w:color w:val="222222"/>
          <w:sz w:val="22"/>
          <w:szCs w:val="22"/>
        </w:rPr>
        <w:t xml:space="preserve">Core services: </w:t>
      </w:r>
      <w:r>
        <w:rPr>
          <w:color w:val="222222"/>
          <w:sz w:val="22"/>
          <w:szCs w:val="22"/>
        </w:rPr>
        <w:t xml:space="preserve">Decision-intelligence platforms, big-data analytics, generative AI for the public sector, urban-planning and risk-analytics tools.</w:t>
      </w:r>
    </w:p>
    <w:p>
      <w:pPr>
        <w:spacing w:after="160"/>
      </w:pPr>
      <w:r>
        <w:rPr>
          <w:b/>
          <w:bCs/>
          <w:color w:val="222222"/>
          <w:sz w:val="22"/>
          <w:szCs w:val="22"/>
        </w:rPr>
        <w:t xml:space="preserve">AI specialties: </w:t>
      </w:r>
      <w:r>
        <w:rPr>
          <w:color w:val="222222"/>
          <w:sz w:val="22"/>
          <w:szCs w:val="22"/>
        </w:rPr>
        <w:t xml:space="preserve">Generative AI, decision intelligence, its TAQ omni-analytics platform, and energy-sector AI through AIQ, its joint venture with ADNOC.</w:t>
      </w:r>
    </w:p>
    <w:p>
      <w:pPr>
        <w:spacing w:after="160"/>
      </w:pPr>
      <w:r>
        <w:rPr>
          <w:b/>
          <w:bCs/>
          <w:color w:val="222222"/>
          <w:sz w:val="22"/>
          <w:szCs w:val="22"/>
        </w:rPr>
        <w:t xml:space="preserve">Industries served: </w:t>
      </w:r>
      <w:r>
        <w:rPr>
          <w:color w:val="222222"/>
          <w:sz w:val="22"/>
          <w:szCs w:val="22"/>
        </w:rPr>
        <w:t xml:space="preserve">Government, urban planning, energy and utilities, enterprise risk management.</w:t>
      </w:r>
    </w:p>
    <w:p>
      <w:pPr>
        <w:spacing w:after="160"/>
      </w:pPr>
      <w:r>
        <w:rPr>
          <w:b/>
          <w:bCs/>
          <w:color w:val="222222"/>
          <w:sz w:val="22"/>
          <w:szCs w:val="22"/>
        </w:rPr>
        <w:t xml:space="preserve">Why it stands out: </w:t>
      </w:r>
      <w:r>
        <w:rPr>
          <w:color w:val="222222"/>
          <w:sz w:val="22"/>
          <w:szCs w:val="22"/>
        </w:rPr>
        <w:t xml:space="preserve">It is one of only two UAE AI companies with a public listing, giving buyers an unusual level of financial transparency compared with most private competitors, and it deploys air-gapped options for sensitive government workloads.</w:t>
      </w:r>
    </w:p>
    <w:p>
      <w:pPr>
        <w:spacing w:after="160"/>
      </w:pPr>
      <w:r>
        <w:rPr>
          <w:b/>
          <w:bCs/>
          <w:color w:val="222222"/>
          <w:sz w:val="22"/>
          <w:szCs w:val="22"/>
        </w:rPr>
        <w:t xml:space="preserve">Website: </w:t>
      </w:r>
      <w:r>
        <w:rPr>
          <w:color w:val="222222"/>
          <w:sz w:val="22"/>
          <w:szCs w:val="22"/>
        </w:rPr>
        <w:t xml:space="preserve">presight.ai</w:t>
      </w:r>
    </w:p>
    <w:p>
      <w:pPr>
        <w:pStyle w:val="Heading3"/>
        <w:spacing w:after="120" w:before="240"/>
      </w:pPr>
      <w:r>
        <w:rPr>
          <w:b/>
          <w:bCs/>
          <w:color w:val="1F3864"/>
          <w:sz w:val="25"/>
          <w:szCs w:val="25"/>
        </w:rPr>
        <w:t xml:space="preserve">M42</w:t>
      </w:r>
    </w:p>
    <w:p>
      <w:pPr>
        <w:spacing w:after="160"/>
      </w:pPr>
      <w:r>
        <w:rPr>
          <w:b/>
          <w:bCs/>
          <w:color w:val="222222"/>
          <w:sz w:val="22"/>
          <w:szCs w:val="22"/>
        </w:rPr>
        <w:t xml:space="preserve">Headquarters: </w:t>
      </w:r>
      <w:r>
        <w:rPr>
          <w:color w:val="222222"/>
          <w:sz w:val="22"/>
          <w:szCs w:val="22"/>
        </w:rPr>
        <w:t xml:space="preserve">Abu Dhabi, UAE</w:t>
      </w:r>
    </w:p>
    <w:p>
      <w:pPr>
        <w:spacing w:after="160"/>
      </w:pPr>
      <w:r>
        <w:rPr>
          <w:color w:val="222222"/>
          <w:sz w:val="22"/>
          <w:szCs w:val="22"/>
        </w:rPr>
        <w:t xml:space="preserve">M42 is a joint healthcare venture between G42 and Mubadala, serving as the technology arm for Mubadala's healthcare portfolio. It focuses on medical-imaging AI, clinical decision support, and applied AI for hospital operations.</w:t>
      </w:r>
    </w:p>
    <w:p>
      <w:pPr>
        <w:spacing w:after="160"/>
      </w:pPr>
      <w:r>
        <w:rPr>
          <w:b/>
          <w:bCs/>
          <w:color w:val="222222"/>
          <w:sz w:val="22"/>
          <w:szCs w:val="22"/>
        </w:rPr>
        <w:t xml:space="preserve">Core services: </w:t>
      </w:r>
      <w:r>
        <w:rPr>
          <w:color w:val="222222"/>
          <w:sz w:val="22"/>
          <w:szCs w:val="22"/>
        </w:rPr>
        <w:t xml:space="preserve">Medical-imaging AI, clinical decision-support systems, hospital operations AI.</w:t>
      </w:r>
    </w:p>
    <w:p>
      <w:pPr>
        <w:spacing w:after="160"/>
      </w:pPr>
      <w:r>
        <w:rPr>
          <w:b/>
          <w:bCs/>
          <w:color w:val="222222"/>
          <w:sz w:val="22"/>
          <w:szCs w:val="22"/>
        </w:rPr>
        <w:t xml:space="preserve">AI specialties: </w:t>
      </w:r>
      <w:r>
        <w:rPr>
          <w:color w:val="222222"/>
          <w:sz w:val="22"/>
          <w:szCs w:val="22"/>
        </w:rPr>
        <w:t xml:space="preserve">Healthcare-specific machine learning, diagnostic imaging AI.</w:t>
      </w:r>
    </w:p>
    <w:p>
      <w:pPr>
        <w:spacing w:after="160"/>
      </w:pPr>
      <w:r>
        <w:rPr>
          <w:b/>
          <w:bCs/>
          <w:color w:val="222222"/>
          <w:sz w:val="22"/>
          <w:szCs w:val="22"/>
        </w:rPr>
        <w:t xml:space="preserve">Industries served: </w:t>
      </w:r>
      <w:r>
        <w:rPr>
          <w:color w:val="222222"/>
          <w:sz w:val="22"/>
          <w:szCs w:val="22"/>
        </w:rPr>
        <w:t xml:space="preserve">Hospitals, healthcare networks, life-sciences research.</w:t>
      </w:r>
    </w:p>
    <w:p>
      <w:pPr>
        <w:spacing w:after="160"/>
      </w:pPr>
      <w:r>
        <w:rPr>
          <w:b/>
          <w:bCs/>
          <w:color w:val="222222"/>
          <w:sz w:val="22"/>
          <w:szCs w:val="22"/>
        </w:rPr>
        <w:t xml:space="preserve">Why it stands out: </w:t>
      </w:r>
      <w:r>
        <w:rPr>
          <w:color w:val="222222"/>
          <w:sz w:val="22"/>
          <w:szCs w:val="22"/>
        </w:rPr>
        <w:t xml:space="preserve">Its direct backing from Mubadala's healthcare network gives it a live clinical deployment environment that most healthcare-AI vendors only get through pilot partnerships.</w:t>
      </w:r>
    </w:p>
    <w:p>
      <w:pPr>
        <w:spacing w:after="160"/>
      </w:pPr>
      <w:r>
        <w:rPr>
          <w:b/>
          <w:bCs/>
          <w:color w:val="222222"/>
          <w:sz w:val="22"/>
          <w:szCs w:val="22"/>
        </w:rPr>
        <w:t xml:space="preserve">Website: </w:t>
      </w:r>
      <w:r>
        <w:rPr>
          <w:color w:val="222222"/>
          <w:sz w:val="22"/>
          <w:szCs w:val="22"/>
        </w:rPr>
        <w:t xml:space="preserve">m42.ae</w:t>
      </w:r>
    </w:p>
    <w:p>
      <w:pPr>
        <w:pStyle w:val="Heading3"/>
        <w:spacing w:after="120" w:before="240"/>
      </w:pPr>
      <w:r>
        <w:rPr>
          <w:b/>
          <w:bCs/>
          <w:color w:val="1F3864"/>
          <w:sz w:val="25"/>
          <w:szCs w:val="25"/>
        </w:rPr>
        <w:t xml:space="preserve">Bayanat</w:t>
      </w:r>
    </w:p>
    <w:p>
      <w:pPr>
        <w:spacing w:after="160"/>
      </w:pPr>
      <w:r>
        <w:rPr>
          <w:b/>
          <w:bCs/>
          <w:color w:val="222222"/>
          <w:sz w:val="22"/>
          <w:szCs w:val="22"/>
        </w:rPr>
        <w:t xml:space="preserve">Headquarters: </w:t>
      </w:r>
      <w:r>
        <w:rPr>
          <w:color w:val="222222"/>
          <w:sz w:val="22"/>
          <w:szCs w:val="22"/>
        </w:rPr>
        <w:t xml:space="preserve">Abu Dhabi, UAE</w:t>
      </w:r>
    </w:p>
    <w:p>
      <w:pPr>
        <w:spacing w:after="160"/>
      </w:pPr>
      <w:r>
        <w:rPr>
          <w:color w:val="222222"/>
          <w:sz w:val="22"/>
          <w:szCs w:val="22"/>
        </w:rPr>
        <w:t xml:space="preserve">Bayanat is a G42-affiliated, ADX-listed company providing AI-powered geospatial mapping and mobility intelligence, and is now integrated with Space42's satellite intelligence operations.</w:t>
      </w:r>
    </w:p>
    <w:p>
      <w:pPr>
        <w:spacing w:after="160"/>
      </w:pPr>
      <w:r>
        <w:rPr>
          <w:b/>
          <w:bCs/>
          <w:color w:val="222222"/>
          <w:sz w:val="22"/>
          <w:szCs w:val="22"/>
        </w:rPr>
        <w:t xml:space="preserve">Core services: </w:t>
      </w:r>
      <w:r>
        <w:rPr>
          <w:color w:val="222222"/>
          <w:sz w:val="22"/>
          <w:szCs w:val="22"/>
        </w:rPr>
        <w:t xml:space="preserve">Geospatial data analytics, AI-powered mapping, autonomous mobility data.</w:t>
      </w:r>
    </w:p>
    <w:p>
      <w:pPr>
        <w:spacing w:after="160"/>
      </w:pPr>
      <w:r>
        <w:rPr>
          <w:b/>
          <w:bCs/>
          <w:color w:val="222222"/>
          <w:sz w:val="22"/>
          <w:szCs w:val="22"/>
        </w:rPr>
        <w:t xml:space="preserve">AI specialties: </w:t>
      </w:r>
      <w:r>
        <w:rPr>
          <w:color w:val="222222"/>
          <w:sz w:val="22"/>
          <w:szCs w:val="22"/>
        </w:rPr>
        <w:t xml:space="preserve">Geospatial AI, satellite and mapping intelligence, autonomy-support data layers.</w:t>
      </w:r>
    </w:p>
    <w:p>
      <w:pPr>
        <w:spacing w:after="160"/>
      </w:pPr>
      <w:r>
        <w:rPr>
          <w:b/>
          <w:bCs/>
          <w:color w:val="222222"/>
          <w:sz w:val="22"/>
          <w:szCs w:val="22"/>
        </w:rPr>
        <w:t xml:space="preserve">Industries served: </w:t>
      </w:r>
      <w:r>
        <w:rPr>
          <w:color w:val="222222"/>
          <w:sz w:val="22"/>
          <w:szCs w:val="22"/>
        </w:rPr>
        <w:t xml:space="preserve">Government, urban planning, defense and security, mobility and logistics.</w:t>
      </w:r>
    </w:p>
    <w:p>
      <w:pPr>
        <w:spacing w:after="160"/>
      </w:pPr>
      <w:r>
        <w:rPr>
          <w:b/>
          <w:bCs/>
          <w:color w:val="222222"/>
          <w:sz w:val="22"/>
          <w:szCs w:val="22"/>
        </w:rPr>
        <w:t xml:space="preserve">Why it stands out: </w:t>
      </w:r>
      <w:r>
        <w:rPr>
          <w:color w:val="222222"/>
          <w:sz w:val="22"/>
          <w:szCs w:val="22"/>
        </w:rPr>
        <w:t xml:space="preserve">Bayanat's geospatial specialization and public listing make it one of the more transparent, sector-focused choices for location-intelligence and mapping AI work.</w:t>
      </w:r>
    </w:p>
    <w:p>
      <w:pPr>
        <w:spacing w:after="160"/>
      </w:pPr>
      <w:r>
        <w:rPr>
          <w:b/>
          <w:bCs/>
          <w:color w:val="222222"/>
          <w:sz w:val="22"/>
          <w:szCs w:val="22"/>
        </w:rPr>
        <w:t xml:space="preserve">Website: </w:t>
      </w:r>
      <w:r>
        <w:rPr>
          <w:color w:val="222222"/>
          <w:sz w:val="22"/>
          <w:szCs w:val="22"/>
        </w:rPr>
        <w:t xml:space="preserve">bayanat.ai</w:t>
      </w:r>
    </w:p>
    <w:p>
      <w:pPr>
        <w:pStyle w:val="Heading3"/>
        <w:spacing w:after="120" w:before="240"/>
      </w:pPr>
      <w:r>
        <w:rPr>
          <w:b/>
          <w:bCs/>
          <w:color w:val="1F3864"/>
          <w:sz w:val="25"/>
          <w:szCs w:val="25"/>
        </w:rPr>
        <w:t xml:space="preserve">Astra Tech</w:t>
      </w:r>
    </w:p>
    <w:p>
      <w:pPr>
        <w:spacing w:after="160"/>
      </w:pPr>
      <w:r>
        <w:rPr>
          <w:b/>
          <w:bCs/>
          <w:color w:val="222222"/>
          <w:sz w:val="22"/>
          <w:szCs w:val="22"/>
        </w:rPr>
        <w:t xml:space="preserve">Headquarters: </w:t>
      </w:r>
      <w:r>
        <w:rPr>
          <w:color w:val="222222"/>
          <w:sz w:val="22"/>
          <w:szCs w:val="22"/>
        </w:rPr>
        <w:t xml:space="preserve">Abu Dhabi (founded) and Dubai DIFC, UAE</w:t>
      </w:r>
    </w:p>
    <w:p>
      <w:pPr>
        <w:spacing w:after="160"/>
      </w:pPr>
      <w:r>
        <w:rPr>
          <w:color w:val="222222"/>
          <w:sz w:val="22"/>
          <w:szCs w:val="22"/>
        </w:rPr>
        <w:t xml:space="preserve">Astra Tech is a UAE technology investment and development group founded in 2022, best known for BOTIM, a super-app used by more than 170 million users across 158 countries, and for Quantix, its fintech lending arm.</w:t>
      </w:r>
    </w:p>
    <w:p>
      <w:pPr>
        <w:spacing w:after="160"/>
      </w:pPr>
      <w:r>
        <w:rPr>
          <w:b/>
          <w:bCs/>
          <w:color w:val="222222"/>
          <w:sz w:val="22"/>
          <w:szCs w:val="22"/>
        </w:rPr>
        <w:t xml:space="preserve">Core services: </w:t>
      </w:r>
      <w:r>
        <w:rPr>
          <w:color w:val="222222"/>
          <w:sz w:val="22"/>
          <w:szCs w:val="22"/>
        </w:rPr>
        <w:t xml:space="preserve">Consumer super-app development, embedded fintech, AI-driven personalization at consumer scale.</w:t>
      </w:r>
    </w:p>
    <w:p>
      <w:pPr>
        <w:spacing w:after="160"/>
      </w:pPr>
      <w:r>
        <w:rPr>
          <w:b/>
          <w:bCs/>
          <w:color w:val="222222"/>
          <w:sz w:val="22"/>
          <w:szCs w:val="22"/>
        </w:rPr>
        <w:t xml:space="preserve">AI specialties: </w:t>
      </w:r>
      <w:r>
        <w:rPr>
          <w:color w:val="222222"/>
          <w:sz w:val="22"/>
          <w:szCs w:val="22"/>
        </w:rPr>
        <w:t xml:space="preserve">Applied AI for consumer fintech and communications products, large-scale recommendation and risk systems.</w:t>
      </w:r>
    </w:p>
    <w:p>
      <w:pPr>
        <w:spacing w:after="160"/>
      </w:pPr>
      <w:r>
        <w:rPr>
          <w:b/>
          <w:bCs/>
          <w:color w:val="222222"/>
          <w:sz w:val="22"/>
          <w:szCs w:val="22"/>
        </w:rPr>
        <w:t xml:space="preserve">Industries served: </w:t>
      </w:r>
      <w:r>
        <w:rPr>
          <w:color w:val="222222"/>
          <w:sz w:val="22"/>
          <w:szCs w:val="22"/>
        </w:rPr>
        <w:t xml:space="preserve">Fintech, telecommunications-adjacent consumer services, underbanked and expatriate consumer segments.</w:t>
      </w:r>
    </w:p>
    <w:p>
      <w:pPr>
        <w:spacing w:after="160"/>
      </w:pPr>
      <w:r>
        <w:rPr>
          <w:b/>
          <w:bCs/>
          <w:color w:val="222222"/>
          <w:sz w:val="22"/>
          <w:szCs w:val="22"/>
        </w:rPr>
        <w:t xml:space="preserve">Why it stands out: </w:t>
      </w:r>
      <w:r>
        <w:rPr>
          <w:color w:val="222222"/>
          <w:sz w:val="22"/>
          <w:szCs w:val="22"/>
        </w:rPr>
        <w:t xml:space="preserve">It is the clearest example of a UAE AI company built for consumer scale rather than enterprise contracts, backed by more than a billion dollars in funding including a G42-led round and a landmark Citi asset-backed financing deal for Quantix.</w:t>
      </w:r>
    </w:p>
    <w:p>
      <w:pPr>
        <w:spacing w:after="160"/>
      </w:pPr>
      <w:r>
        <w:rPr>
          <w:b/>
          <w:bCs/>
          <w:color w:val="222222"/>
          <w:sz w:val="22"/>
          <w:szCs w:val="22"/>
        </w:rPr>
        <w:t xml:space="preserve">Website: </w:t>
      </w:r>
      <w:r>
        <w:rPr>
          <w:color w:val="222222"/>
          <w:sz w:val="22"/>
          <w:szCs w:val="22"/>
        </w:rPr>
        <w:t xml:space="preserve">astratech.ae</w:t>
      </w:r>
    </w:p>
    <w:p>
      <w:pPr>
        <w:pStyle w:val="Heading3"/>
        <w:spacing w:after="120" w:before="240"/>
      </w:pPr>
      <w:r>
        <w:rPr>
          <w:b/>
          <w:bCs/>
          <w:color w:val="1F3864"/>
          <w:sz w:val="25"/>
          <w:szCs w:val="25"/>
        </w:rPr>
        <w:t xml:space="preserve">Space42</w:t>
      </w:r>
    </w:p>
    <w:p>
      <w:pPr>
        <w:spacing w:after="160"/>
      </w:pPr>
      <w:r>
        <w:rPr>
          <w:b/>
          <w:bCs/>
          <w:color w:val="222222"/>
          <w:sz w:val="22"/>
          <w:szCs w:val="22"/>
        </w:rPr>
        <w:t xml:space="preserve">Headquarters: </w:t>
      </w:r>
      <w:r>
        <w:rPr>
          <w:color w:val="222222"/>
          <w:sz w:val="22"/>
          <w:szCs w:val="22"/>
        </w:rPr>
        <w:t xml:space="preserve">Abu Dhabi, UAE</w:t>
      </w:r>
    </w:p>
    <w:p>
      <w:pPr>
        <w:spacing w:after="160"/>
      </w:pPr>
      <w:r>
        <w:rPr>
          <w:color w:val="222222"/>
          <w:sz w:val="22"/>
          <w:szCs w:val="22"/>
        </w:rPr>
        <w:t xml:space="preserve">Space42 is a UAE-based space-technology company within the G42 family, applying AI to satellite imagery, communications, and space-based intelligence.</w:t>
      </w:r>
    </w:p>
    <w:p>
      <w:pPr>
        <w:spacing w:after="160"/>
      </w:pPr>
      <w:r>
        <w:rPr>
          <w:b/>
          <w:bCs/>
          <w:color w:val="222222"/>
          <w:sz w:val="22"/>
          <w:szCs w:val="22"/>
        </w:rPr>
        <w:t xml:space="preserve">Core services: </w:t>
      </w:r>
      <w:r>
        <w:rPr>
          <w:color w:val="222222"/>
          <w:sz w:val="22"/>
          <w:szCs w:val="22"/>
        </w:rPr>
        <w:t xml:space="preserve">Satellite intelligence, AI-powered earth observation, space-based data analytics.</w:t>
      </w:r>
    </w:p>
    <w:p>
      <w:pPr>
        <w:spacing w:after="160"/>
      </w:pPr>
      <w:r>
        <w:rPr>
          <w:b/>
          <w:bCs/>
          <w:color w:val="222222"/>
          <w:sz w:val="22"/>
          <w:szCs w:val="22"/>
        </w:rPr>
        <w:t xml:space="preserve">AI specialties: </w:t>
      </w:r>
      <w:r>
        <w:rPr>
          <w:color w:val="222222"/>
          <w:sz w:val="22"/>
          <w:szCs w:val="22"/>
        </w:rPr>
        <w:t xml:space="preserve">Computer vision for satellite imagery, space-sector AI infrastructure.</w:t>
      </w:r>
    </w:p>
    <w:p>
      <w:pPr>
        <w:spacing w:after="160"/>
      </w:pPr>
      <w:r>
        <w:rPr>
          <w:b/>
          <w:bCs/>
          <w:color w:val="222222"/>
          <w:sz w:val="22"/>
          <w:szCs w:val="22"/>
        </w:rPr>
        <w:t xml:space="preserve">Industries served: </w:t>
      </w:r>
      <w:r>
        <w:rPr>
          <w:color w:val="222222"/>
          <w:sz w:val="22"/>
          <w:szCs w:val="22"/>
        </w:rPr>
        <w:t xml:space="preserve">Government, defense, agriculture and environmental monitoring, telecommunications.</w:t>
      </w:r>
    </w:p>
    <w:p>
      <w:pPr>
        <w:spacing w:after="160"/>
      </w:pPr>
      <w:r>
        <w:rPr>
          <w:b/>
          <w:bCs/>
          <w:color w:val="222222"/>
          <w:sz w:val="22"/>
          <w:szCs w:val="22"/>
        </w:rPr>
        <w:t xml:space="preserve">Why it stands out: </w:t>
      </w:r>
      <w:r>
        <w:rPr>
          <w:color w:val="222222"/>
          <w:sz w:val="22"/>
          <w:szCs w:val="22"/>
        </w:rPr>
        <w:t xml:space="preserve">It is one of very few AI companies in the region applying machine learning directly to space and satellite data at commercial scale.</w:t>
      </w:r>
    </w:p>
    <w:p>
      <w:pPr>
        <w:spacing w:after="160"/>
      </w:pPr>
      <w:r>
        <w:rPr>
          <w:b/>
          <w:bCs/>
          <w:color w:val="222222"/>
          <w:sz w:val="22"/>
          <w:szCs w:val="22"/>
        </w:rPr>
        <w:t xml:space="preserve">Website: </w:t>
      </w:r>
      <w:r>
        <w:rPr>
          <w:color w:val="222222"/>
          <w:sz w:val="22"/>
          <w:szCs w:val="22"/>
        </w:rPr>
        <w:t xml:space="preserve">space42.ai</w:t>
      </w:r>
    </w:p>
    <w:p>
      <w:pPr>
        <w:pStyle w:val="Heading3"/>
        <w:spacing w:after="120" w:before="240"/>
      </w:pPr>
      <w:r>
        <w:rPr>
          <w:b/>
          <w:bCs/>
          <w:color w:val="1F3864"/>
          <w:sz w:val="25"/>
          <w:szCs w:val="25"/>
        </w:rPr>
        <w:t xml:space="preserve">Technology Innovation Institute (TII)</w:t>
      </w:r>
    </w:p>
    <w:p>
      <w:pPr>
        <w:spacing w:after="160"/>
      </w:pPr>
      <w:r>
        <w:rPr>
          <w:b/>
          <w:bCs/>
          <w:color w:val="222222"/>
          <w:sz w:val="22"/>
          <w:szCs w:val="22"/>
        </w:rPr>
        <w:t xml:space="preserve">Headquarters: </w:t>
      </w:r>
      <w:r>
        <w:rPr>
          <w:color w:val="222222"/>
          <w:sz w:val="22"/>
          <w:szCs w:val="22"/>
        </w:rPr>
        <w:t xml:space="preserve">Abu Dhabi, UAE</w:t>
      </w:r>
    </w:p>
    <w:p>
      <w:pPr>
        <w:spacing w:after="160"/>
      </w:pPr>
      <w:r>
        <w:rPr>
          <w:color w:val="222222"/>
          <w:sz w:val="22"/>
          <w:szCs w:val="22"/>
        </w:rPr>
        <w:t xml:space="preserve">TII is Abu Dhabi's government-backed applied research institute and the creator of Falcon, an open-weight large language model family that became one of the most-downloaded open models globally after its release.</w:t>
      </w:r>
    </w:p>
    <w:p>
      <w:pPr>
        <w:spacing w:after="160"/>
      </w:pPr>
      <w:r>
        <w:rPr>
          <w:b/>
          <w:bCs/>
          <w:color w:val="222222"/>
          <w:sz w:val="22"/>
          <w:szCs w:val="22"/>
        </w:rPr>
        <w:t xml:space="preserve">Core services: </w:t>
      </w:r>
      <w:r>
        <w:rPr>
          <w:color w:val="222222"/>
          <w:sz w:val="22"/>
          <w:szCs w:val="22"/>
        </w:rPr>
        <w:t xml:space="preserve">Foundation-model research, open-source LLM development, applied AI research across robotics, quantum, and cryptography.</w:t>
      </w:r>
    </w:p>
    <w:p>
      <w:pPr>
        <w:spacing w:after="160"/>
      </w:pPr>
      <w:r>
        <w:rPr>
          <w:b/>
          <w:bCs/>
          <w:color w:val="222222"/>
          <w:sz w:val="22"/>
          <w:szCs w:val="22"/>
        </w:rPr>
        <w:t xml:space="preserve">AI specialties: </w:t>
      </w:r>
      <w:r>
        <w:rPr>
          <w:color w:val="222222"/>
          <w:sz w:val="22"/>
          <w:szCs w:val="22"/>
        </w:rPr>
        <w:t xml:space="preserve">Open-weight large language models, foundation-model research and pretraining.</w:t>
      </w:r>
    </w:p>
    <w:p>
      <w:pPr>
        <w:spacing w:after="160"/>
      </w:pPr>
      <w:r>
        <w:rPr>
          <w:b/>
          <w:bCs/>
          <w:color w:val="222222"/>
          <w:sz w:val="22"/>
          <w:szCs w:val="22"/>
        </w:rPr>
        <w:t xml:space="preserve">Industries served: </w:t>
      </w:r>
      <w:r>
        <w:rPr>
          <w:color w:val="222222"/>
          <w:sz w:val="22"/>
          <w:szCs w:val="22"/>
        </w:rPr>
        <w:t xml:space="preserve">Research institutions, developers building on open models, government innovation programs.</w:t>
      </w:r>
    </w:p>
    <w:p>
      <w:pPr>
        <w:spacing w:after="160"/>
      </w:pPr>
      <w:r>
        <w:rPr>
          <w:b/>
          <w:bCs/>
          <w:color w:val="222222"/>
          <w:sz w:val="22"/>
          <w:szCs w:val="22"/>
        </w:rPr>
        <w:t xml:space="preserve">Why it stands out: </w:t>
      </w:r>
      <w:r>
        <w:rPr>
          <w:color w:val="222222"/>
          <w:sz w:val="22"/>
          <w:szCs w:val="22"/>
        </w:rPr>
        <w:t xml:space="preserve">Falcon put the UAE on the global open-source LLM map alongside far larger US and Chinese labs, and TII continues to publish research that UAE-based AI companies build on.</w:t>
      </w:r>
    </w:p>
    <w:p>
      <w:pPr>
        <w:spacing w:after="160"/>
      </w:pPr>
      <w:r>
        <w:rPr>
          <w:b/>
          <w:bCs/>
          <w:color w:val="222222"/>
          <w:sz w:val="22"/>
          <w:szCs w:val="22"/>
        </w:rPr>
        <w:t xml:space="preserve">Website: </w:t>
      </w:r>
      <w:r>
        <w:rPr>
          <w:color w:val="222222"/>
          <w:sz w:val="22"/>
          <w:szCs w:val="22"/>
        </w:rPr>
        <w:t xml:space="preserve">tii.ae</w:t>
      </w:r>
    </w:p>
    <w:p>
      <w:pPr>
        <w:pStyle w:val="Heading3"/>
        <w:spacing w:after="120" w:before="240"/>
      </w:pPr>
      <w:r>
        <w:rPr>
          <w:b/>
          <w:bCs/>
          <w:color w:val="1F3864"/>
          <w:sz w:val="25"/>
          <w:szCs w:val="25"/>
        </w:rPr>
        <w:t xml:space="preserve">Mohamed bin Zayed University of Artificial Intelligence (MBZUAI)</w:t>
      </w:r>
    </w:p>
    <w:p>
      <w:pPr>
        <w:spacing w:after="160"/>
      </w:pPr>
      <w:r>
        <w:rPr>
          <w:b/>
          <w:bCs/>
          <w:color w:val="222222"/>
          <w:sz w:val="22"/>
          <w:szCs w:val="22"/>
        </w:rPr>
        <w:t xml:space="preserve">Headquarters: </w:t>
      </w:r>
      <w:r>
        <w:rPr>
          <w:color w:val="222222"/>
          <w:sz w:val="22"/>
          <w:szCs w:val="22"/>
        </w:rPr>
        <w:t xml:space="preserve">Abu Dhabi, UAE</w:t>
      </w:r>
    </w:p>
    <w:p>
      <w:pPr>
        <w:spacing w:after="160"/>
      </w:pPr>
      <w:r>
        <w:rPr>
          <w:color w:val="222222"/>
          <w:sz w:val="22"/>
          <w:szCs w:val="22"/>
        </w:rPr>
        <w:t xml:space="preserve">MBZUAI is a graduate research university dedicated entirely to AI, and functions as a de facto talent pipeline into G42, Inception, and M42. It is a research partner behind Jais and other Arabic and multilingual AI systems.</w:t>
      </w:r>
    </w:p>
    <w:p>
      <w:pPr>
        <w:spacing w:after="160"/>
      </w:pPr>
      <w:r>
        <w:rPr>
          <w:b/>
          <w:bCs/>
          <w:color w:val="222222"/>
          <w:sz w:val="22"/>
          <w:szCs w:val="22"/>
        </w:rPr>
        <w:t xml:space="preserve">Core services: </w:t>
      </w:r>
      <w:r>
        <w:rPr>
          <w:color w:val="222222"/>
          <w:sz w:val="22"/>
          <w:szCs w:val="22"/>
        </w:rPr>
        <w:t xml:space="preserve">AI research and graduate education, applied research partnerships with industry.</w:t>
      </w:r>
    </w:p>
    <w:p>
      <w:pPr>
        <w:spacing w:after="160"/>
      </w:pPr>
      <w:r>
        <w:rPr>
          <w:b/>
          <w:bCs/>
          <w:color w:val="222222"/>
          <w:sz w:val="22"/>
          <w:szCs w:val="22"/>
        </w:rPr>
        <w:t xml:space="preserve">AI specialties: </w:t>
      </w:r>
      <w:r>
        <w:rPr>
          <w:color w:val="222222"/>
          <w:sz w:val="22"/>
          <w:szCs w:val="22"/>
        </w:rPr>
        <w:t xml:space="preserve">Arabic and multilingual foundation models, machine learning research across computer vision, NLP, and robotics.</w:t>
      </w:r>
    </w:p>
    <w:p>
      <w:pPr>
        <w:spacing w:after="160"/>
      </w:pPr>
      <w:r>
        <w:rPr>
          <w:b/>
          <w:bCs/>
          <w:color w:val="222222"/>
          <w:sz w:val="22"/>
          <w:szCs w:val="22"/>
        </w:rPr>
        <w:t xml:space="preserve">Industries served: </w:t>
      </w:r>
      <w:r>
        <w:rPr>
          <w:color w:val="222222"/>
          <w:sz w:val="22"/>
          <w:szCs w:val="22"/>
        </w:rPr>
        <w:t xml:space="preserve">Academic and research institutions, industry R&amp;D partnerships.</w:t>
      </w:r>
    </w:p>
    <w:p>
      <w:pPr>
        <w:spacing w:after="160"/>
      </w:pPr>
      <w:r>
        <w:rPr>
          <w:b/>
          <w:bCs/>
          <w:color w:val="222222"/>
          <w:sz w:val="22"/>
          <w:szCs w:val="22"/>
        </w:rPr>
        <w:t xml:space="preserve">Why it stands out: </w:t>
      </w:r>
      <w:r>
        <w:rPr>
          <w:color w:val="222222"/>
          <w:sz w:val="22"/>
          <w:szCs w:val="22"/>
        </w:rPr>
        <w:t xml:space="preserve">It is the only university in the world built solely around AI, and its research collaborations feed directly into commercial products shipped by G42 group companies.</w:t>
      </w:r>
    </w:p>
    <w:p>
      <w:pPr>
        <w:spacing w:after="160"/>
      </w:pPr>
      <w:r>
        <w:rPr>
          <w:b/>
          <w:bCs/>
          <w:color w:val="222222"/>
          <w:sz w:val="22"/>
          <w:szCs w:val="22"/>
        </w:rPr>
        <w:t xml:space="preserve">Website: </w:t>
      </w:r>
      <w:r>
        <w:rPr>
          <w:color w:val="222222"/>
          <w:sz w:val="22"/>
          <w:szCs w:val="22"/>
        </w:rPr>
        <w:t xml:space="preserve">mbzuai.ac.ae</w:t>
      </w:r>
    </w:p>
    <w:p>
      <w:pPr>
        <w:pStyle w:val="Heading3"/>
        <w:spacing w:after="120" w:before="240"/>
      </w:pPr>
      <w:r>
        <w:rPr>
          <w:b/>
          <w:bCs/>
          <w:color w:val="1F3864"/>
          <w:sz w:val="25"/>
          <w:szCs w:val="25"/>
        </w:rPr>
        <w:t xml:space="preserve">Saal.ai</w:t>
      </w:r>
    </w:p>
    <w:p>
      <w:pPr>
        <w:spacing w:after="160"/>
      </w:pPr>
      <w:r>
        <w:rPr>
          <w:b/>
          <w:bCs/>
          <w:color w:val="222222"/>
          <w:sz w:val="22"/>
          <w:szCs w:val="22"/>
        </w:rPr>
        <w:t xml:space="preserve">Headquarters: </w:t>
      </w:r>
      <w:r>
        <w:rPr>
          <w:color w:val="222222"/>
          <w:sz w:val="22"/>
          <w:szCs w:val="22"/>
        </w:rPr>
        <w:t xml:space="preserve">Abu Dhabi, UAE</w:t>
      </w:r>
    </w:p>
    <w:p>
      <w:pPr>
        <w:spacing w:after="160"/>
      </w:pPr>
      <w:r>
        <w:rPr>
          <w:color w:val="222222"/>
          <w:sz w:val="22"/>
          <w:szCs w:val="22"/>
        </w:rPr>
        <w:t xml:space="preserve">Saal.ai is a homegrown applied AI and big-data product company building cognitive solutions for government and enterprise clients. In 2026 it signed a memorandum of understanding with Sorbonne University Abu Dhabi to build sovereign and agentic AI capability locally.</w:t>
      </w:r>
    </w:p>
    <w:p>
      <w:pPr>
        <w:spacing w:after="160"/>
      </w:pPr>
      <w:r>
        <w:rPr>
          <w:b/>
          <w:bCs/>
          <w:color w:val="222222"/>
          <w:sz w:val="22"/>
          <w:szCs w:val="22"/>
        </w:rPr>
        <w:t xml:space="preserve">Core services: </w:t>
      </w:r>
      <w:r>
        <w:rPr>
          <w:color w:val="222222"/>
          <w:sz w:val="22"/>
          <w:szCs w:val="22"/>
        </w:rPr>
        <w:t xml:space="preserve">Applied cognitive AI products, big-data platforms, agentic AI research and development.</w:t>
      </w:r>
    </w:p>
    <w:p>
      <w:pPr>
        <w:spacing w:after="160"/>
      </w:pPr>
      <w:r>
        <w:rPr>
          <w:b/>
          <w:bCs/>
          <w:color w:val="222222"/>
          <w:sz w:val="22"/>
          <w:szCs w:val="22"/>
        </w:rPr>
        <w:t xml:space="preserve">AI specialties: </w:t>
      </w:r>
      <w:r>
        <w:rPr>
          <w:color w:val="222222"/>
          <w:sz w:val="22"/>
          <w:szCs w:val="22"/>
        </w:rPr>
        <w:t xml:space="preserve">Sovereign AI, agentic AI, applied cognitive computing.</w:t>
      </w:r>
    </w:p>
    <w:p>
      <w:pPr>
        <w:spacing w:after="160"/>
      </w:pPr>
      <w:r>
        <w:rPr>
          <w:b/>
          <w:bCs/>
          <w:color w:val="222222"/>
          <w:sz w:val="22"/>
          <w:szCs w:val="22"/>
        </w:rPr>
        <w:t xml:space="preserve">Industries served: </w:t>
      </w:r>
      <w:r>
        <w:rPr>
          <w:color w:val="222222"/>
          <w:sz w:val="22"/>
          <w:szCs w:val="22"/>
        </w:rPr>
        <w:t xml:space="preserve">Government, defense-adjacent sectors, enterprise clients needing locally-built AI.</w:t>
      </w:r>
    </w:p>
    <w:p>
      <w:pPr>
        <w:spacing w:after="160"/>
      </w:pPr>
      <w:r>
        <w:rPr>
          <w:b/>
          <w:bCs/>
          <w:color w:val="222222"/>
          <w:sz w:val="22"/>
          <w:szCs w:val="22"/>
        </w:rPr>
        <w:t xml:space="preserve">Why it stands out: </w:t>
      </w:r>
      <w:r>
        <w:rPr>
          <w:color w:val="222222"/>
          <w:sz w:val="22"/>
          <w:szCs w:val="22"/>
        </w:rPr>
        <w:t xml:space="preserve">It is one of the few UAE-founded (rather than sovereign-fund-launched) applied AI companies building agentic AI capability in direct partnership with academic institutions.</w:t>
      </w:r>
    </w:p>
    <w:p>
      <w:pPr>
        <w:spacing w:after="160"/>
      </w:pPr>
      <w:r>
        <w:rPr>
          <w:b/>
          <w:bCs/>
          <w:color w:val="222222"/>
          <w:sz w:val="22"/>
          <w:szCs w:val="22"/>
        </w:rPr>
        <w:t xml:space="preserve">Website: </w:t>
      </w:r>
      <w:r>
        <w:rPr>
          <w:color w:val="222222"/>
          <w:sz w:val="22"/>
          <w:szCs w:val="22"/>
        </w:rPr>
        <w:t xml:space="preserve">saal.ai</w:t>
      </w:r>
    </w:p>
    <w:p>
      <w:pPr>
        <w:pStyle w:val="Heading3"/>
        <w:spacing w:after="120" w:before="240"/>
      </w:pPr>
      <w:r>
        <w:rPr>
          <w:b/>
          <w:bCs/>
          <w:color w:val="1F3864"/>
          <w:sz w:val="25"/>
          <w:szCs w:val="25"/>
        </w:rPr>
        <w:t xml:space="preserve">Derq</w:t>
      </w:r>
    </w:p>
    <w:p>
      <w:pPr>
        <w:spacing w:after="160"/>
      </w:pPr>
      <w:r>
        <w:rPr>
          <w:b/>
          <w:bCs/>
          <w:color w:val="222222"/>
          <w:sz w:val="22"/>
          <w:szCs w:val="22"/>
        </w:rPr>
        <w:t xml:space="preserve">Headquarters: </w:t>
      </w:r>
      <w:r>
        <w:rPr>
          <w:color w:val="222222"/>
          <w:sz w:val="22"/>
          <w:szCs w:val="22"/>
        </w:rPr>
        <w:t xml:space="preserve">Dubai, UAE</w:t>
      </w:r>
    </w:p>
    <w:p>
      <w:pPr>
        <w:spacing w:after="160"/>
      </w:pPr>
      <w:r>
        <w:rPr>
          <w:color w:val="222222"/>
          <w:sz w:val="22"/>
          <w:szCs w:val="22"/>
        </w:rPr>
        <w:t xml:space="preserve">Derq builds AI-powered intelligent transportation systems for road safety, detecting, tracking, and predicting road-user behavior in real time using infrastructure that integrates with existing traffic systems. It has raised over $59 million in funding.</w:t>
      </w:r>
    </w:p>
    <w:p>
      <w:pPr>
        <w:spacing w:after="160"/>
      </w:pPr>
      <w:r>
        <w:rPr>
          <w:b/>
          <w:bCs/>
          <w:color w:val="222222"/>
          <w:sz w:val="22"/>
          <w:szCs w:val="22"/>
        </w:rPr>
        <w:t xml:space="preserve">Core services: </w:t>
      </w:r>
      <w:r>
        <w:rPr>
          <w:color w:val="222222"/>
          <w:sz w:val="22"/>
          <w:szCs w:val="22"/>
        </w:rPr>
        <w:t xml:space="preserve">Real-time traffic monitoring, predictive road-safety analytics, smart-city transportation infrastructure.</w:t>
      </w:r>
    </w:p>
    <w:p>
      <w:pPr>
        <w:spacing w:after="160"/>
      </w:pPr>
      <w:r>
        <w:rPr>
          <w:b/>
          <w:bCs/>
          <w:color w:val="222222"/>
          <w:sz w:val="22"/>
          <w:szCs w:val="22"/>
        </w:rPr>
        <w:t xml:space="preserve">AI specialties: </w:t>
      </w:r>
      <w:r>
        <w:rPr>
          <w:color w:val="222222"/>
          <w:sz w:val="22"/>
          <w:szCs w:val="22"/>
        </w:rPr>
        <w:t xml:space="preserve">Computer vision for traffic systems, predictive safety analytics, smart-city AI.</w:t>
      </w:r>
    </w:p>
    <w:p>
      <w:pPr>
        <w:spacing w:after="160"/>
      </w:pPr>
      <w:r>
        <w:rPr>
          <w:b/>
          <w:bCs/>
          <w:color w:val="222222"/>
          <w:sz w:val="22"/>
          <w:szCs w:val="22"/>
        </w:rPr>
        <w:t xml:space="preserve">Industries served: </w:t>
      </w:r>
      <w:r>
        <w:rPr>
          <w:color w:val="222222"/>
          <w:sz w:val="22"/>
          <w:szCs w:val="22"/>
        </w:rPr>
        <w:t xml:space="preserve">Government transportation authorities, smart-city programs, road-safety agencies.</w:t>
      </w:r>
    </w:p>
    <w:p>
      <w:pPr>
        <w:spacing w:after="160"/>
      </w:pPr>
      <w:r>
        <w:rPr>
          <w:b/>
          <w:bCs/>
          <w:color w:val="222222"/>
          <w:sz w:val="22"/>
          <w:szCs w:val="22"/>
        </w:rPr>
        <w:t xml:space="preserve">Why it stands out: </w:t>
      </w:r>
      <w:r>
        <w:rPr>
          <w:color w:val="222222"/>
          <w:sz w:val="22"/>
          <w:szCs w:val="22"/>
        </w:rPr>
        <w:t xml:space="preserve">It is one of the UAE's clearest AI startup success stories in a narrow, high-value vertical, with deployed infrastructure rather than a pilot-only product.</w:t>
      </w:r>
    </w:p>
    <w:p>
      <w:pPr>
        <w:spacing w:after="160"/>
      </w:pPr>
      <w:r>
        <w:rPr>
          <w:b/>
          <w:bCs/>
          <w:color w:val="222222"/>
          <w:sz w:val="22"/>
          <w:szCs w:val="22"/>
        </w:rPr>
        <w:t xml:space="preserve">Website: </w:t>
      </w:r>
      <w:r>
        <w:rPr>
          <w:color w:val="222222"/>
          <w:sz w:val="22"/>
          <w:szCs w:val="22"/>
        </w:rPr>
        <w:t xml:space="preserve">derq.com</w:t>
      </w:r>
    </w:p>
    <w:p>
      <w:pPr>
        <w:pStyle w:val="Heading3"/>
        <w:spacing w:after="120" w:before="240"/>
      </w:pPr>
      <w:r>
        <w:rPr>
          <w:b/>
          <w:bCs/>
          <w:color w:val="1F3864"/>
          <w:sz w:val="25"/>
          <w:szCs w:val="25"/>
        </w:rPr>
        <w:t xml:space="preserve">Nybl</w:t>
      </w:r>
    </w:p>
    <w:p>
      <w:pPr>
        <w:spacing w:after="160"/>
      </w:pPr>
      <w:r>
        <w:rPr>
          <w:b/>
          <w:bCs/>
          <w:color w:val="222222"/>
          <w:sz w:val="22"/>
          <w:szCs w:val="22"/>
        </w:rPr>
        <w:t xml:space="preserve">Headquarters: </w:t>
      </w:r>
      <w:r>
        <w:rPr>
          <w:color w:val="222222"/>
          <w:sz w:val="22"/>
          <w:szCs w:val="22"/>
        </w:rPr>
        <w:t xml:space="preserve">Dubai, UAE</w:t>
      </w:r>
    </w:p>
    <w:p>
      <w:pPr>
        <w:spacing w:after="160"/>
      </w:pPr>
      <w:r>
        <w:rPr>
          <w:color w:val="222222"/>
          <w:sz w:val="22"/>
          <w:szCs w:val="22"/>
        </w:rPr>
        <w:t xml:space="preserve">Nybl (Nybl AI) is a Dubai-based industrial and deep-tech AI company that has partnered with Lenovo on public-sector AI democratization and with Ambyint on AI-driven oil and gas equipment optimization.</w:t>
      </w:r>
    </w:p>
    <w:p>
      <w:pPr>
        <w:spacing w:after="160"/>
      </w:pPr>
      <w:r>
        <w:rPr>
          <w:b/>
          <w:bCs/>
          <w:color w:val="222222"/>
          <w:sz w:val="22"/>
          <w:szCs w:val="22"/>
        </w:rPr>
        <w:t xml:space="preserve">Core services: </w:t>
      </w:r>
      <w:r>
        <w:rPr>
          <w:color w:val="222222"/>
          <w:sz w:val="22"/>
          <w:szCs w:val="22"/>
        </w:rPr>
        <w:t xml:space="preserve">Industrial AI platforms, no-code AI model deployment, sector-specific optimization tools.</w:t>
      </w:r>
    </w:p>
    <w:p>
      <w:pPr>
        <w:spacing w:after="160"/>
      </w:pPr>
      <w:r>
        <w:rPr>
          <w:b/>
          <w:bCs/>
          <w:color w:val="222222"/>
          <w:sz w:val="22"/>
          <w:szCs w:val="22"/>
        </w:rPr>
        <w:t xml:space="preserve">AI specialties: </w:t>
      </w:r>
      <w:r>
        <w:rPr>
          <w:color w:val="222222"/>
          <w:sz w:val="22"/>
          <w:szCs w:val="22"/>
        </w:rPr>
        <w:t xml:space="preserve">Applied industrial machine learning, predictive maintenance and optimization AI.</w:t>
      </w:r>
    </w:p>
    <w:p>
      <w:pPr>
        <w:spacing w:after="160"/>
      </w:pPr>
      <w:r>
        <w:rPr>
          <w:b/>
          <w:bCs/>
          <w:color w:val="222222"/>
          <w:sz w:val="22"/>
          <w:szCs w:val="22"/>
        </w:rPr>
        <w:t xml:space="preserve">Industries served: </w:t>
      </w:r>
      <w:r>
        <w:rPr>
          <w:color w:val="222222"/>
          <w:sz w:val="22"/>
          <w:szCs w:val="22"/>
        </w:rPr>
        <w:t xml:space="preserve">Oil and gas, manufacturing, public-sector innovation programs.</w:t>
      </w:r>
    </w:p>
    <w:p>
      <w:pPr>
        <w:spacing w:after="160"/>
      </w:pPr>
      <w:r>
        <w:rPr>
          <w:b/>
          <w:bCs/>
          <w:color w:val="222222"/>
          <w:sz w:val="22"/>
          <w:szCs w:val="22"/>
        </w:rPr>
        <w:t xml:space="preserve">Why it stands out: </w:t>
      </w:r>
      <w:r>
        <w:rPr>
          <w:color w:val="222222"/>
          <w:sz w:val="22"/>
          <w:szCs w:val="22"/>
        </w:rPr>
        <w:t xml:space="preserve">Its partnership model with global technology vendors like Lenovo gives it distribution reach that most single-market UAE AI startups do not have.</w:t>
      </w:r>
    </w:p>
    <w:p>
      <w:pPr>
        <w:spacing w:after="160"/>
      </w:pPr>
      <w:r>
        <w:rPr>
          <w:b/>
          <w:bCs/>
          <w:color w:val="222222"/>
          <w:sz w:val="22"/>
          <w:szCs w:val="22"/>
        </w:rPr>
        <w:t xml:space="preserve">Website: </w:t>
      </w:r>
      <w:r>
        <w:rPr>
          <w:color w:val="222222"/>
          <w:sz w:val="22"/>
          <w:szCs w:val="22"/>
        </w:rPr>
        <w:t xml:space="preserve">nybl.ai</w:t>
      </w:r>
    </w:p>
    <w:p>
      <w:pPr>
        <w:pStyle w:val="Heading3"/>
        <w:spacing w:after="120" w:before="240"/>
      </w:pPr>
      <w:r>
        <w:rPr>
          <w:b/>
          <w:bCs/>
          <w:color w:val="1F3864"/>
          <w:sz w:val="25"/>
          <w:szCs w:val="25"/>
        </w:rPr>
        <w:t xml:space="preserve">Servchip (AI Infrastructure &amp; Hardware Distributor)</w:t>
      </w:r>
    </w:p>
    <w:p>
      <w:pPr>
        <w:spacing w:after="160"/>
      </w:pPr>
      <w:r>
        <w:rPr>
          <w:b/>
          <w:bCs/>
          <w:color w:val="222222"/>
          <w:sz w:val="22"/>
          <w:szCs w:val="22"/>
        </w:rPr>
        <w:t xml:space="preserve">Headquarters: </w:t>
      </w:r>
      <w:r>
        <w:rPr>
          <w:color w:val="222222"/>
          <w:sz w:val="22"/>
          <w:szCs w:val="22"/>
        </w:rPr>
        <w:t xml:space="preserve">India and UAE</w:t>
      </w:r>
    </w:p>
    <w:p>
      <w:pPr>
        <w:spacing w:after="160"/>
      </w:pPr>
      <w:r>
        <w:rPr>
          <w:color w:val="222222"/>
          <w:sz w:val="22"/>
          <w:szCs w:val="22"/>
        </w:rPr>
        <w:t xml:space="preserve">Servchip is not an AI developer in the sense of the companies above; it is an ISO 9001 certified enterprise chip distributor supplying the GPU and AI accelerator hardware that UAE AI companies, data centres, and enterprise buyers need to actually run their workloads. It is included here because the AI ecosystem covered in this guide, from Core42's compute layer to individual enterprise buyers, depends on distributors like it to source hardware.</w:t>
      </w:r>
    </w:p>
    <w:p>
      <w:pPr>
        <w:spacing w:after="160"/>
      </w:pPr>
      <w:r>
        <w:rPr>
          <w:b/>
          <w:bCs/>
          <w:color w:val="222222"/>
          <w:sz w:val="22"/>
          <w:szCs w:val="22"/>
        </w:rPr>
        <w:t xml:space="preserve">Core services: </w:t>
      </w:r>
      <w:r>
        <w:rPr>
          <w:color w:val="222222"/>
          <w:sz w:val="22"/>
          <w:szCs w:val="22"/>
        </w:rPr>
        <w:t xml:space="preserve">GPU and AI accelerator distribution, enterprise hardware procurement and supply.</w:t>
      </w:r>
    </w:p>
    <w:p>
      <w:pPr>
        <w:spacing w:after="160"/>
      </w:pPr>
      <w:r>
        <w:rPr>
          <w:b/>
          <w:bCs/>
          <w:color w:val="222222"/>
          <w:sz w:val="22"/>
          <w:szCs w:val="22"/>
        </w:rPr>
        <w:t xml:space="preserve">AI specialties: </w:t>
      </w:r>
      <w:r>
        <w:rPr>
          <w:color w:val="222222"/>
          <w:sz w:val="22"/>
          <w:szCs w:val="22"/>
        </w:rPr>
        <w:t xml:space="preserve">Not applicable in the model-building sense; its role is hardware supply, not AI development.</w:t>
      </w:r>
    </w:p>
    <w:p>
      <w:pPr>
        <w:spacing w:after="160"/>
      </w:pPr>
      <w:r>
        <w:rPr>
          <w:b/>
          <w:bCs/>
          <w:color w:val="222222"/>
          <w:sz w:val="22"/>
          <w:szCs w:val="22"/>
        </w:rPr>
        <w:t xml:space="preserve">Industries served: </w:t>
      </w:r>
      <w:r>
        <w:rPr>
          <w:color w:val="222222"/>
          <w:sz w:val="22"/>
          <w:szCs w:val="22"/>
        </w:rPr>
        <w:t xml:space="preserve">Enterprise buyers, data centres, and AI companies across the Middle East and South Asia.</w:t>
      </w:r>
    </w:p>
    <w:p>
      <w:pPr>
        <w:spacing w:after="160"/>
      </w:pPr>
      <w:r>
        <w:rPr>
          <w:b/>
          <w:bCs/>
          <w:color w:val="222222"/>
          <w:sz w:val="22"/>
          <w:szCs w:val="22"/>
        </w:rPr>
        <w:t xml:space="preserve">Why it stands out: </w:t>
      </w:r>
      <w:r>
        <w:rPr>
          <w:color w:val="222222"/>
          <w:sz w:val="22"/>
          <w:szCs w:val="22"/>
        </w:rPr>
        <w:t xml:space="preserve">It is positioned specifically for regional buyers, with local offices in the UAE and India, supplying NVIDIA, AMD, Intel, and Google TPU hardware rather than building AI products itself. It is a distributor, not a channel-certified or authorized partner of any chipmaker.</w:t>
      </w:r>
    </w:p>
    <w:p>
      <w:pPr>
        <w:spacing w:after="160"/>
      </w:pPr>
      <w:r>
        <w:rPr>
          <w:b/>
          <w:bCs/>
          <w:color w:val="222222"/>
          <w:sz w:val="22"/>
          <w:szCs w:val="22"/>
        </w:rPr>
        <w:t xml:space="preserve">Website: </w:t>
      </w:r>
      <w:r>
        <w:rPr>
          <w:color w:val="222222"/>
          <w:sz w:val="22"/>
          <w:szCs w:val="22"/>
        </w:rPr>
        <w:t xml:space="preserve">servchip.com</w:t>
      </w:r>
    </w:p>
    <w:p>
      <w:pPr>
        <w:pStyle w:val="Heading2"/>
        <w:pBdr>
          <w:bottom w:val="single" w:color="1F3864" w:sz="6" w:space="4"/>
        </w:pBdr>
        <w:spacing w:after="180" w:before="320"/>
      </w:pPr>
      <w:r>
        <w:rPr>
          <w:b/>
          <w:bCs/>
          <w:color w:val="1F3864"/>
          <w:sz w:val="30"/>
          <w:szCs w:val="30"/>
        </w:rPr>
        <w:t xml:space="preserve">Comparison Table of Leading AI Companies in the UAE</w:t>
      </w:r>
    </w:p>
    <w:p>
      <w:pPr>
        <w:spacing w:after="160"/>
      </w:pPr>
      <w:r>
        <w:rPr>
          <w:color w:val="222222"/>
          <w:sz w:val="22"/>
          <w:szCs w:val="22"/>
        </w:rPr>
        <w:t xml:space="preserve">This table is designed for fast scanning. Use it to narrow your shortlist before reading the full profiles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16"/>
        <w:gridCol w:w="1216"/>
        <w:gridCol w:w="2057"/>
        <w:gridCol w:w="1777"/>
        <w:gridCol w:w="2057"/>
        <w:gridCol w:w="1029"/>
      </w:tblGrid>
      <w:tr>
        <w:trPr>
          <w:tblHeader/>
        </w:trPr>
        <w:tc>
          <w:tcPr>
            <w:tcW w:type="dxa" w:w="1216"/>
            <w:shd w:fill="1F3864" w:val="clear"/>
            <w:tcMar>
              <w:top w:type="dxa" w:w="100"/>
              <w:left w:type="dxa" w:w="120"/>
              <w:bottom w:type="dxa" w:w="100"/>
              <w:right w:type="dxa" w:w="120"/>
            </w:tcMar>
          </w:tcPr>
          <w:p>
            <w:r>
              <w:rPr>
                <w:b/>
                <w:bCs/>
                <w:color w:val="FFFFFF"/>
                <w:sz w:val="20"/>
                <w:szCs w:val="20"/>
              </w:rPr>
              <w:t xml:space="preserve">Company</w:t>
            </w:r>
          </w:p>
        </w:tc>
        <w:tc>
          <w:tcPr>
            <w:tcW w:type="dxa" w:w="1216"/>
            <w:shd w:fill="1F3864" w:val="clear"/>
            <w:tcMar>
              <w:top w:type="dxa" w:w="100"/>
              <w:left w:type="dxa" w:w="120"/>
              <w:bottom w:type="dxa" w:w="100"/>
              <w:right w:type="dxa" w:w="120"/>
            </w:tcMar>
          </w:tcPr>
          <w:p>
            <w:r>
              <w:rPr>
                <w:b/>
                <w:bCs/>
                <w:color w:val="FFFFFF"/>
                <w:sz w:val="20"/>
                <w:szCs w:val="20"/>
              </w:rPr>
              <w:t xml:space="preserve">Headquarters</w:t>
            </w:r>
          </w:p>
        </w:tc>
        <w:tc>
          <w:tcPr>
            <w:tcW w:type="dxa" w:w="2057"/>
            <w:shd w:fill="1F3864" w:val="clear"/>
            <w:tcMar>
              <w:top w:type="dxa" w:w="100"/>
              <w:left w:type="dxa" w:w="120"/>
              <w:bottom w:type="dxa" w:w="100"/>
              <w:right w:type="dxa" w:w="120"/>
            </w:tcMar>
          </w:tcPr>
          <w:p>
            <w:r>
              <w:rPr>
                <w:b/>
                <w:bCs/>
                <w:color w:val="FFFFFF"/>
                <w:sz w:val="20"/>
                <w:szCs w:val="20"/>
              </w:rPr>
              <w:t xml:space="preserve">Core Expertise</w:t>
            </w:r>
          </w:p>
        </w:tc>
        <w:tc>
          <w:tcPr>
            <w:tcW w:type="dxa" w:w="1777"/>
            <w:shd w:fill="1F3864" w:val="clear"/>
            <w:tcMar>
              <w:top w:type="dxa" w:w="100"/>
              <w:left w:type="dxa" w:w="120"/>
              <w:bottom w:type="dxa" w:w="100"/>
              <w:right w:type="dxa" w:w="120"/>
            </w:tcMar>
          </w:tcPr>
          <w:p>
            <w:r>
              <w:rPr>
                <w:b/>
                <w:bCs/>
                <w:color w:val="FFFFFF"/>
                <w:sz w:val="20"/>
                <w:szCs w:val="20"/>
              </w:rPr>
              <w:t xml:space="preserve">Industries</w:t>
            </w:r>
          </w:p>
        </w:tc>
        <w:tc>
          <w:tcPr>
            <w:tcW w:type="dxa" w:w="2057"/>
            <w:shd w:fill="1F3864" w:val="clear"/>
            <w:tcMar>
              <w:top w:type="dxa" w:w="100"/>
              <w:left w:type="dxa" w:w="120"/>
              <w:bottom w:type="dxa" w:w="100"/>
              <w:right w:type="dxa" w:w="120"/>
            </w:tcMar>
          </w:tcPr>
          <w:p>
            <w:r>
              <w:rPr>
                <w:b/>
                <w:bCs/>
                <w:color w:val="FFFFFF"/>
                <w:sz w:val="20"/>
                <w:szCs w:val="20"/>
              </w:rPr>
              <w:t xml:space="preserve">Best For</w:t>
            </w:r>
          </w:p>
        </w:tc>
        <w:tc>
          <w:tcPr>
            <w:tcW w:type="dxa" w:w="1029"/>
            <w:shd w:fill="1F3864" w:val="clear"/>
            <w:tcMar>
              <w:top w:type="dxa" w:w="100"/>
              <w:left w:type="dxa" w:w="120"/>
              <w:bottom w:type="dxa" w:w="100"/>
              <w:right w:type="dxa" w:w="120"/>
            </w:tcMar>
          </w:tcPr>
          <w:p>
            <w:r>
              <w:rPr>
                <w:b/>
                <w:bCs/>
                <w:color w:val="FFFFFF"/>
                <w:sz w:val="20"/>
                <w:szCs w:val="20"/>
              </w:rPr>
              <w:t xml:space="preserve">Company Size</w:t>
            </w:r>
          </w:p>
        </w:tc>
      </w:tr>
      <w:tr>
        <w:tc>
          <w:tcPr>
            <w:tcW w:type="dxa" w:w="1216"/>
            <w:shd w:fill="FFFFFF" w:val="clear"/>
            <w:tcMar>
              <w:top w:type="dxa" w:w="90"/>
              <w:left w:type="dxa" w:w="120"/>
              <w:bottom w:type="dxa" w:w="90"/>
              <w:right w:type="dxa" w:w="120"/>
            </w:tcMar>
          </w:tcPr>
          <w:p>
            <w:r>
              <w:rPr>
                <w:color w:val="222222"/>
                <w:sz w:val="19"/>
                <w:szCs w:val="19"/>
              </w:rPr>
              <w:t xml:space="preserve">G42</w:t>
            </w:r>
          </w:p>
        </w:tc>
        <w:tc>
          <w:tcPr>
            <w:tcW w:type="dxa" w:w="1216"/>
            <w:shd w:fill="FFFFFF" w:val="clear"/>
            <w:tcMar>
              <w:top w:type="dxa" w:w="90"/>
              <w:left w:type="dxa" w:w="120"/>
              <w:bottom w:type="dxa" w:w="90"/>
              <w:right w:type="dxa" w:w="120"/>
            </w:tcMar>
          </w:tcPr>
          <w:p>
            <w:r>
              <w:rPr>
                <w:color w:val="222222"/>
                <w:sz w:val="19"/>
                <w:szCs w:val="19"/>
              </w:rPr>
              <w:t xml:space="preserve">Abu Dhabi</w:t>
            </w:r>
          </w:p>
        </w:tc>
        <w:tc>
          <w:tcPr>
            <w:tcW w:type="dxa" w:w="2057"/>
            <w:shd w:fill="FFFFFF" w:val="clear"/>
            <w:tcMar>
              <w:top w:type="dxa" w:w="90"/>
              <w:left w:type="dxa" w:w="120"/>
              <w:bottom w:type="dxa" w:w="90"/>
              <w:right w:type="dxa" w:w="120"/>
            </w:tcMar>
          </w:tcPr>
          <w:p>
            <w:r>
              <w:rPr>
                <w:color w:val="222222"/>
                <w:sz w:val="19"/>
                <w:szCs w:val="19"/>
              </w:rPr>
              <w:t xml:space="preserve">Sovereign AI, group strategy</w:t>
            </w:r>
          </w:p>
        </w:tc>
        <w:tc>
          <w:tcPr>
            <w:tcW w:type="dxa" w:w="1777"/>
            <w:shd w:fill="FFFFFF" w:val="clear"/>
            <w:tcMar>
              <w:top w:type="dxa" w:w="90"/>
              <w:left w:type="dxa" w:w="120"/>
              <w:bottom w:type="dxa" w:w="90"/>
              <w:right w:type="dxa" w:w="120"/>
            </w:tcMar>
          </w:tcPr>
          <w:p>
            <w:r>
              <w:rPr>
                <w:color w:val="222222"/>
                <w:sz w:val="19"/>
                <w:szCs w:val="19"/>
              </w:rPr>
              <w:t xml:space="preserve">Government, healthcare, finance</w:t>
            </w:r>
          </w:p>
        </w:tc>
        <w:tc>
          <w:tcPr>
            <w:tcW w:type="dxa" w:w="2057"/>
            <w:shd w:fill="FFFFFF" w:val="clear"/>
            <w:tcMar>
              <w:top w:type="dxa" w:w="90"/>
              <w:left w:type="dxa" w:w="120"/>
              <w:bottom w:type="dxa" w:w="90"/>
              <w:right w:type="dxa" w:w="120"/>
            </w:tcMar>
          </w:tcPr>
          <w:p>
            <w:r>
              <w:rPr>
                <w:color w:val="222222"/>
                <w:sz w:val="19"/>
                <w:szCs w:val="19"/>
              </w:rPr>
              <w:t xml:space="preserve">Enterprise &amp; government-scale AI programs</w:t>
            </w:r>
          </w:p>
        </w:tc>
        <w:tc>
          <w:tcPr>
            <w:tcW w:type="dxa" w:w="1029"/>
            <w:shd w:fill="FFFFFF" w:val="clear"/>
            <w:tcMar>
              <w:top w:type="dxa" w:w="90"/>
              <w:left w:type="dxa" w:w="120"/>
              <w:bottom w:type="dxa" w:w="90"/>
              <w:right w:type="dxa" w:w="120"/>
            </w:tcMar>
          </w:tcPr>
          <w:p>
            <w:r>
              <w:rPr>
                <w:color w:val="222222"/>
                <w:sz w:val="19"/>
                <w:szCs w:val="19"/>
              </w:rPr>
              <w:t xml:space="preserve">Large (group)</w:t>
            </w:r>
          </w:p>
        </w:tc>
      </w:tr>
      <w:tr>
        <w:tc>
          <w:tcPr>
            <w:tcW w:type="dxa" w:w="1216"/>
            <w:shd w:fill="F2F2F2" w:val="clear"/>
            <w:tcMar>
              <w:top w:type="dxa" w:w="90"/>
              <w:left w:type="dxa" w:w="120"/>
              <w:bottom w:type="dxa" w:w="90"/>
              <w:right w:type="dxa" w:w="120"/>
            </w:tcMar>
          </w:tcPr>
          <w:p>
            <w:r>
              <w:rPr>
                <w:color w:val="222222"/>
                <w:sz w:val="19"/>
                <w:szCs w:val="19"/>
              </w:rPr>
              <w:t xml:space="preserve">Core42</w:t>
            </w:r>
          </w:p>
        </w:tc>
        <w:tc>
          <w:tcPr>
            <w:tcW w:type="dxa" w:w="1216"/>
            <w:shd w:fill="F2F2F2" w:val="clear"/>
            <w:tcMar>
              <w:top w:type="dxa" w:w="90"/>
              <w:left w:type="dxa" w:w="120"/>
              <w:bottom w:type="dxa" w:w="90"/>
              <w:right w:type="dxa" w:w="120"/>
            </w:tcMar>
          </w:tcPr>
          <w:p>
            <w:r>
              <w:rPr>
                <w:color w:val="222222"/>
                <w:sz w:val="19"/>
                <w:szCs w:val="19"/>
              </w:rPr>
              <w:t xml:space="preserve">Abu Dhabi</w:t>
            </w:r>
          </w:p>
        </w:tc>
        <w:tc>
          <w:tcPr>
            <w:tcW w:type="dxa" w:w="2057"/>
            <w:shd w:fill="F2F2F2" w:val="clear"/>
            <w:tcMar>
              <w:top w:type="dxa" w:w="90"/>
              <w:left w:type="dxa" w:w="120"/>
              <w:bottom w:type="dxa" w:w="90"/>
              <w:right w:type="dxa" w:w="120"/>
            </w:tcMar>
          </w:tcPr>
          <w:p>
            <w:r>
              <w:rPr>
                <w:color w:val="222222"/>
                <w:sz w:val="19"/>
                <w:szCs w:val="19"/>
              </w:rPr>
              <w:t xml:space="preserve">GPU infrastructure, sovereign cloud</w:t>
            </w:r>
          </w:p>
        </w:tc>
        <w:tc>
          <w:tcPr>
            <w:tcW w:type="dxa" w:w="1777"/>
            <w:shd w:fill="F2F2F2" w:val="clear"/>
            <w:tcMar>
              <w:top w:type="dxa" w:w="90"/>
              <w:left w:type="dxa" w:w="120"/>
              <w:bottom w:type="dxa" w:w="90"/>
              <w:right w:type="dxa" w:w="120"/>
            </w:tcMar>
          </w:tcPr>
          <w:p>
            <w:r>
              <w:rPr>
                <w:color w:val="222222"/>
                <w:sz w:val="19"/>
                <w:szCs w:val="19"/>
              </w:rPr>
              <w:t xml:space="preserve">Government, banking, healthcare</w:t>
            </w:r>
          </w:p>
        </w:tc>
        <w:tc>
          <w:tcPr>
            <w:tcW w:type="dxa" w:w="2057"/>
            <w:shd w:fill="F2F2F2" w:val="clear"/>
            <w:tcMar>
              <w:top w:type="dxa" w:w="90"/>
              <w:left w:type="dxa" w:w="120"/>
              <w:bottom w:type="dxa" w:w="90"/>
              <w:right w:type="dxa" w:w="120"/>
            </w:tcMar>
          </w:tcPr>
          <w:p>
            <w:r>
              <w:rPr>
                <w:color w:val="222222"/>
                <w:sz w:val="19"/>
                <w:szCs w:val="19"/>
              </w:rPr>
              <w:t xml:space="preserve">Compute-heavy, data-residency workloads</w:t>
            </w:r>
          </w:p>
        </w:tc>
        <w:tc>
          <w:tcPr>
            <w:tcW w:type="dxa" w:w="1029"/>
            <w:shd w:fill="F2F2F2" w:val="clear"/>
            <w:tcMar>
              <w:top w:type="dxa" w:w="90"/>
              <w:left w:type="dxa" w:w="120"/>
              <w:bottom w:type="dxa" w:w="90"/>
              <w:right w:type="dxa" w:w="120"/>
            </w:tcMar>
          </w:tcPr>
          <w:p>
            <w:r>
              <w:rPr>
                <w:color w:val="222222"/>
                <w:sz w:val="19"/>
                <w:szCs w:val="19"/>
              </w:rPr>
              <w:t xml:space="preserve">Large</w:t>
            </w:r>
          </w:p>
        </w:tc>
      </w:tr>
      <w:tr>
        <w:tc>
          <w:tcPr>
            <w:tcW w:type="dxa" w:w="1216"/>
            <w:shd w:fill="FFFFFF" w:val="clear"/>
            <w:tcMar>
              <w:top w:type="dxa" w:w="90"/>
              <w:left w:type="dxa" w:w="120"/>
              <w:bottom w:type="dxa" w:w="90"/>
              <w:right w:type="dxa" w:w="120"/>
            </w:tcMar>
          </w:tcPr>
          <w:p>
            <w:r>
              <w:rPr>
                <w:color w:val="222222"/>
                <w:sz w:val="19"/>
                <w:szCs w:val="19"/>
              </w:rPr>
              <w:t xml:space="preserve">Inception</w:t>
            </w:r>
          </w:p>
        </w:tc>
        <w:tc>
          <w:tcPr>
            <w:tcW w:type="dxa" w:w="1216"/>
            <w:shd w:fill="FFFFFF" w:val="clear"/>
            <w:tcMar>
              <w:top w:type="dxa" w:w="90"/>
              <w:left w:type="dxa" w:w="120"/>
              <w:bottom w:type="dxa" w:w="90"/>
              <w:right w:type="dxa" w:w="120"/>
            </w:tcMar>
          </w:tcPr>
          <w:p>
            <w:r>
              <w:rPr>
                <w:color w:val="222222"/>
                <w:sz w:val="19"/>
                <w:szCs w:val="19"/>
              </w:rPr>
              <w:t xml:space="preserve">Abu Dhabi</w:t>
            </w:r>
          </w:p>
        </w:tc>
        <w:tc>
          <w:tcPr>
            <w:tcW w:type="dxa" w:w="2057"/>
            <w:shd w:fill="FFFFFF" w:val="clear"/>
            <w:tcMar>
              <w:top w:type="dxa" w:w="90"/>
              <w:left w:type="dxa" w:w="120"/>
              <w:bottom w:type="dxa" w:w="90"/>
              <w:right w:type="dxa" w:w="120"/>
            </w:tcMar>
          </w:tcPr>
          <w:p>
            <w:r>
              <w:rPr>
                <w:color w:val="222222"/>
                <w:sz w:val="19"/>
                <w:szCs w:val="19"/>
              </w:rPr>
              <w:t xml:space="preserve">Arabic NLP, applied enterprise AI</w:t>
            </w:r>
          </w:p>
        </w:tc>
        <w:tc>
          <w:tcPr>
            <w:tcW w:type="dxa" w:w="1777"/>
            <w:shd w:fill="FFFFFF" w:val="clear"/>
            <w:tcMar>
              <w:top w:type="dxa" w:w="90"/>
              <w:left w:type="dxa" w:w="120"/>
              <w:bottom w:type="dxa" w:w="90"/>
              <w:right w:type="dxa" w:w="120"/>
            </w:tcMar>
          </w:tcPr>
          <w:p>
            <w:r>
              <w:rPr>
                <w:color w:val="222222"/>
                <w:sz w:val="19"/>
                <w:szCs w:val="19"/>
              </w:rPr>
              <w:t xml:space="preserve">Government, healthcare</w:t>
            </w:r>
          </w:p>
        </w:tc>
        <w:tc>
          <w:tcPr>
            <w:tcW w:type="dxa" w:w="2057"/>
            <w:shd w:fill="FFFFFF" w:val="clear"/>
            <w:tcMar>
              <w:top w:type="dxa" w:w="90"/>
              <w:left w:type="dxa" w:w="120"/>
              <w:bottom w:type="dxa" w:w="90"/>
              <w:right w:type="dxa" w:w="120"/>
            </w:tcMar>
          </w:tcPr>
          <w:p>
            <w:r>
              <w:rPr>
                <w:color w:val="222222"/>
                <w:sz w:val="19"/>
                <w:szCs w:val="19"/>
              </w:rPr>
              <w:t xml:space="preserve">Arabic-language and government AI apps</w:t>
            </w:r>
          </w:p>
        </w:tc>
        <w:tc>
          <w:tcPr>
            <w:tcW w:type="dxa" w:w="1029"/>
            <w:shd w:fill="FFFFFF" w:val="clear"/>
            <w:tcMar>
              <w:top w:type="dxa" w:w="90"/>
              <w:left w:type="dxa" w:w="120"/>
              <w:bottom w:type="dxa" w:w="90"/>
              <w:right w:type="dxa" w:w="120"/>
            </w:tcMar>
          </w:tcPr>
          <w:p>
            <w:r>
              <w:rPr>
                <w:color w:val="222222"/>
                <w:sz w:val="19"/>
                <w:szCs w:val="19"/>
              </w:rPr>
              <w:t xml:space="preserve">Mid-size</w:t>
            </w:r>
          </w:p>
        </w:tc>
      </w:tr>
      <w:tr>
        <w:tc>
          <w:tcPr>
            <w:tcW w:type="dxa" w:w="1216"/>
            <w:shd w:fill="F2F2F2" w:val="clear"/>
            <w:tcMar>
              <w:top w:type="dxa" w:w="90"/>
              <w:left w:type="dxa" w:w="120"/>
              <w:bottom w:type="dxa" w:w="90"/>
              <w:right w:type="dxa" w:w="120"/>
            </w:tcMar>
          </w:tcPr>
          <w:p>
            <w:r>
              <w:rPr>
                <w:color w:val="222222"/>
                <w:sz w:val="19"/>
                <w:szCs w:val="19"/>
              </w:rPr>
              <w:t xml:space="preserve">Presight</w:t>
            </w:r>
          </w:p>
        </w:tc>
        <w:tc>
          <w:tcPr>
            <w:tcW w:type="dxa" w:w="1216"/>
            <w:shd w:fill="F2F2F2" w:val="clear"/>
            <w:tcMar>
              <w:top w:type="dxa" w:w="90"/>
              <w:left w:type="dxa" w:w="120"/>
              <w:bottom w:type="dxa" w:w="90"/>
              <w:right w:type="dxa" w:w="120"/>
            </w:tcMar>
          </w:tcPr>
          <w:p>
            <w:r>
              <w:rPr>
                <w:color w:val="222222"/>
                <w:sz w:val="19"/>
                <w:szCs w:val="19"/>
              </w:rPr>
              <w:t xml:space="preserve">Abu Dhabi</w:t>
            </w:r>
          </w:p>
        </w:tc>
        <w:tc>
          <w:tcPr>
            <w:tcW w:type="dxa" w:w="2057"/>
            <w:shd w:fill="F2F2F2" w:val="clear"/>
            <w:tcMar>
              <w:top w:type="dxa" w:w="90"/>
              <w:left w:type="dxa" w:w="120"/>
              <w:bottom w:type="dxa" w:w="90"/>
              <w:right w:type="dxa" w:w="120"/>
            </w:tcMar>
          </w:tcPr>
          <w:p>
            <w:r>
              <w:rPr>
                <w:color w:val="222222"/>
                <w:sz w:val="19"/>
                <w:szCs w:val="19"/>
              </w:rPr>
              <w:t xml:space="preserve">Decision intelligence, generative AI</w:t>
            </w:r>
          </w:p>
        </w:tc>
        <w:tc>
          <w:tcPr>
            <w:tcW w:type="dxa" w:w="1777"/>
            <w:shd w:fill="F2F2F2" w:val="clear"/>
            <w:tcMar>
              <w:top w:type="dxa" w:w="90"/>
              <w:left w:type="dxa" w:w="120"/>
              <w:bottom w:type="dxa" w:w="90"/>
              <w:right w:type="dxa" w:w="120"/>
            </w:tcMar>
          </w:tcPr>
          <w:p>
            <w:r>
              <w:rPr>
                <w:color w:val="222222"/>
                <w:sz w:val="19"/>
                <w:szCs w:val="19"/>
              </w:rPr>
              <w:t xml:space="preserve">Government, energy, urban planning</w:t>
            </w:r>
          </w:p>
        </w:tc>
        <w:tc>
          <w:tcPr>
            <w:tcW w:type="dxa" w:w="2057"/>
            <w:shd w:fill="F2F2F2" w:val="clear"/>
            <w:tcMar>
              <w:top w:type="dxa" w:w="90"/>
              <w:left w:type="dxa" w:w="120"/>
              <w:bottom w:type="dxa" w:w="90"/>
              <w:right w:type="dxa" w:w="120"/>
            </w:tcMar>
          </w:tcPr>
          <w:p>
            <w:r>
              <w:rPr>
                <w:color w:val="222222"/>
                <w:sz w:val="19"/>
                <w:szCs w:val="19"/>
              </w:rPr>
              <w:t xml:space="preserve">Public-sector analytics, air-gapped deployments</w:t>
            </w:r>
          </w:p>
        </w:tc>
        <w:tc>
          <w:tcPr>
            <w:tcW w:type="dxa" w:w="1029"/>
            <w:shd w:fill="F2F2F2" w:val="clear"/>
            <w:tcMar>
              <w:top w:type="dxa" w:w="90"/>
              <w:left w:type="dxa" w:w="120"/>
              <w:bottom w:type="dxa" w:w="90"/>
              <w:right w:type="dxa" w:w="120"/>
            </w:tcMar>
          </w:tcPr>
          <w:p>
            <w:r>
              <w:rPr>
                <w:color w:val="222222"/>
                <w:sz w:val="19"/>
                <w:szCs w:val="19"/>
              </w:rPr>
              <w:t xml:space="preserve">Mid-size (ADX-listed)</w:t>
            </w:r>
          </w:p>
        </w:tc>
      </w:tr>
      <w:tr>
        <w:tc>
          <w:tcPr>
            <w:tcW w:type="dxa" w:w="1216"/>
            <w:shd w:fill="FFFFFF" w:val="clear"/>
            <w:tcMar>
              <w:top w:type="dxa" w:w="90"/>
              <w:left w:type="dxa" w:w="120"/>
              <w:bottom w:type="dxa" w:w="90"/>
              <w:right w:type="dxa" w:w="120"/>
            </w:tcMar>
          </w:tcPr>
          <w:p>
            <w:r>
              <w:rPr>
                <w:color w:val="222222"/>
                <w:sz w:val="19"/>
                <w:szCs w:val="19"/>
              </w:rPr>
              <w:t xml:space="preserve">M42</w:t>
            </w:r>
          </w:p>
        </w:tc>
        <w:tc>
          <w:tcPr>
            <w:tcW w:type="dxa" w:w="1216"/>
            <w:shd w:fill="FFFFFF" w:val="clear"/>
            <w:tcMar>
              <w:top w:type="dxa" w:w="90"/>
              <w:left w:type="dxa" w:w="120"/>
              <w:bottom w:type="dxa" w:w="90"/>
              <w:right w:type="dxa" w:w="120"/>
            </w:tcMar>
          </w:tcPr>
          <w:p>
            <w:r>
              <w:rPr>
                <w:color w:val="222222"/>
                <w:sz w:val="19"/>
                <w:szCs w:val="19"/>
              </w:rPr>
              <w:t xml:space="preserve">Abu Dhabi</w:t>
            </w:r>
          </w:p>
        </w:tc>
        <w:tc>
          <w:tcPr>
            <w:tcW w:type="dxa" w:w="2057"/>
            <w:shd w:fill="FFFFFF" w:val="clear"/>
            <w:tcMar>
              <w:top w:type="dxa" w:w="90"/>
              <w:left w:type="dxa" w:w="120"/>
              <w:bottom w:type="dxa" w:w="90"/>
              <w:right w:type="dxa" w:w="120"/>
            </w:tcMar>
          </w:tcPr>
          <w:p>
            <w:r>
              <w:rPr>
                <w:color w:val="222222"/>
                <w:sz w:val="19"/>
                <w:szCs w:val="19"/>
              </w:rPr>
              <w:t xml:space="preserve">Healthcare AI, clinical imaging</w:t>
            </w:r>
          </w:p>
        </w:tc>
        <w:tc>
          <w:tcPr>
            <w:tcW w:type="dxa" w:w="1777"/>
            <w:shd w:fill="FFFFFF" w:val="clear"/>
            <w:tcMar>
              <w:top w:type="dxa" w:w="90"/>
              <w:left w:type="dxa" w:w="120"/>
              <w:bottom w:type="dxa" w:w="90"/>
              <w:right w:type="dxa" w:w="120"/>
            </w:tcMar>
          </w:tcPr>
          <w:p>
            <w:r>
              <w:rPr>
                <w:color w:val="222222"/>
                <w:sz w:val="19"/>
                <w:szCs w:val="19"/>
              </w:rPr>
              <w:t xml:space="preserve">Healthcare</w:t>
            </w:r>
          </w:p>
        </w:tc>
        <w:tc>
          <w:tcPr>
            <w:tcW w:type="dxa" w:w="2057"/>
            <w:shd w:fill="FFFFFF" w:val="clear"/>
            <w:tcMar>
              <w:top w:type="dxa" w:w="90"/>
              <w:left w:type="dxa" w:w="120"/>
              <w:bottom w:type="dxa" w:w="90"/>
              <w:right w:type="dxa" w:w="120"/>
            </w:tcMar>
          </w:tcPr>
          <w:p>
            <w:r>
              <w:rPr>
                <w:color w:val="222222"/>
                <w:sz w:val="19"/>
                <w:szCs w:val="19"/>
              </w:rPr>
              <w:t xml:space="preserve">Hospitals and clinical-decision support</w:t>
            </w:r>
          </w:p>
        </w:tc>
        <w:tc>
          <w:tcPr>
            <w:tcW w:type="dxa" w:w="1029"/>
            <w:shd w:fill="FFFFFF" w:val="clear"/>
            <w:tcMar>
              <w:top w:type="dxa" w:w="90"/>
              <w:left w:type="dxa" w:w="120"/>
              <w:bottom w:type="dxa" w:w="90"/>
              <w:right w:type="dxa" w:w="120"/>
            </w:tcMar>
          </w:tcPr>
          <w:p>
            <w:r>
              <w:rPr>
                <w:color w:val="222222"/>
                <w:sz w:val="19"/>
                <w:szCs w:val="19"/>
              </w:rPr>
              <w:t xml:space="preserve">Mid-size</w:t>
            </w:r>
          </w:p>
        </w:tc>
      </w:tr>
      <w:tr>
        <w:tc>
          <w:tcPr>
            <w:tcW w:type="dxa" w:w="1216"/>
            <w:shd w:fill="F2F2F2" w:val="clear"/>
            <w:tcMar>
              <w:top w:type="dxa" w:w="90"/>
              <w:left w:type="dxa" w:w="120"/>
              <w:bottom w:type="dxa" w:w="90"/>
              <w:right w:type="dxa" w:w="120"/>
            </w:tcMar>
          </w:tcPr>
          <w:p>
            <w:r>
              <w:rPr>
                <w:color w:val="222222"/>
                <w:sz w:val="19"/>
                <w:szCs w:val="19"/>
              </w:rPr>
              <w:t xml:space="preserve">Bayanat</w:t>
            </w:r>
          </w:p>
        </w:tc>
        <w:tc>
          <w:tcPr>
            <w:tcW w:type="dxa" w:w="1216"/>
            <w:shd w:fill="F2F2F2" w:val="clear"/>
            <w:tcMar>
              <w:top w:type="dxa" w:w="90"/>
              <w:left w:type="dxa" w:w="120"/>
              <w:bottom w:type="dxa" w:w="90"/>
              <w:right w:type="dxa" w:w="120"/>
            </w:tcMar>
          </w:tcPr>
          <w:p>
            <w:r>
              <w:rPr>
                <w:color w:val="222222"/>
                <w:sz w:val="19"/>
                <w:szCs w:val="19"/>
              </w:rPr>
              <w:t xml:space="preserve">Abu Dhabi</w:t>
            </w:r>
          </w:p>
        </w:tc>
        <w:tc>
          <w:tcPr>
            <w:tcW w:type="dxa" w:w="2057"/>
            <w:shd w:fill="F2F2F2" w:val="clear"/>
            <w:tcMar>
              <w:top w:type="dxa" w:w="90"/>
              <w:left w:type="dxa" w:w="120"/>
              <w:bottom w:type="dxa" w:w="90"/>
              <w:right w:type="dxa" w:w="120"/>
            </w:tcMar>
          </w:tcPr>
          <w:p>
            <w:r>
              <w:rPr>
                <w:color w:val="222222"/>
                <w:sz w:val="19"/>
                <w:szCs w:val="19"/>
              </w:rPr>
              <w:t xml:space="preserve">Geospatial AI, mapping</w:t>
            </w:r>
          </w:p>
        </w:tc>
        <w:tc>
          <w:tcPr>
            <w:tcW w:type="dxa" w:w="1777"/>
            <w:shd w:fill="F2F2F2" w:val="clear"/>
            <w:tcMar>
              <w:top w:type="dxa" w:w="90"/>
              <w:left w:type="dxa" w:w="120"/>
              <w:bottom w:type="dxa" w:w="90"/>
              <w:right w:type="dxa" w:w="120"/>
            </w:tcMar>
          </w:tcPr>
          <w:p>
            <w:r>
              <w:rPr>
                <w:color w:val="222222"/>
                <w:sz w:val="19"/>
                <w:szCs w:val="19"/>
              </w:rPr>
              <w:t xml:space="preserve">Government, mobility, defense</w:t>
            </w:r>
          </w:p>
        </w:tc>
        <w:tc>
          <w:tcPr>
            <w:tcW w:type="dxa" w:w="2057"/>
            <w:shd w:fill="F2F2F2" w:val="clear"/>
            <w:tcMar>
              <w:top w:type="dxa" w:w="90"/>
              <w:left w:type="dxa" w:w="120"/>
              <w:bottom w:type="dxa" w:w="90"/>
              <w:right w:type="dxa" w:w="120"/>
            </w:tcMar>
          </w:tcPr>
          <w:p>
            <w:r>
              <w:rPr>
                <w:color w:val="222222"/>
                <w:sz w:val="19"/>
                <w:szCs w:val="19"/>
              </w:rPr>
              <w:t xml:space="preserve">Location intelligence and mapping</w:t>
            </w:r>
          </w:p>
        </w:tc>
        <w:tc>
          <w:tcPr>
            <w:tcW w:type="dxa" w:w="1029"/>
            <w:shd w:fill="F2F2F2" w:val="clear"/>
            <w:tcMar>
              <w:top w:type="dxa" w:w="90"/>
              <w:left w:type="dxa" w:w="120"/>
              <w:bottom w:type="dxa" w:w="90"/>
              <w:right w:type="dxa" w:w="120"/>
            </w:tcMar>
          </w:tcPr>
          <w:p>
            <w:r>
              <w:rPr>
                <w:color w:val="222222"/>
                <w:sz w:val="19"/>
                <w:szCs w:val="19"/>
              </w:rPr>
              <w:t xml:space="preserve">Mid-size (ADX-listed)</w:t>
            </w:r>
          </w:p>
        </w:tc>
      </w:tr>
      <w:tr>
        <w:tc>
          <w:tcPr>
            <w:tcW w:type="dxa" w:w="1216"/>
            <w:shd w:fill="FFFFFF" w:val="clear"/>
            <w:tcMar>
              <w:top w:type="dxa" w:w="90"/>
              <w:left w:type="dxa" w:w="120"/>
              <w:bottom w:type="dxa" w:w="90"/>
              <w:right w:type="dxa" w:w="120"/>
            </w:tcMar>
          </w:tcPr>
          <w:p>
            <w:r>
              <w:rPr>
                <w:color w:val="222222"/>
                <w:sz w:val="19"/>
                <w:szCs w:val="19"/>
              </w:rPr>
              <w:t xml:space="preserve">Astra Tech</w:t>
            </w:r>
          </w:p>
        </w:tc>
        <w:tc>
          <w:tcPr>
            <w:tcW w:type="dxa" w:w="1216"/>
            <w:shd w:fill="FFFFFF" w:val="clear"/>
            <w:tcMar>
              <w:top w:type="dxa" w:w="90"/>
              <w:left w:type="dxa" w:w="120"/>
              <w:bottom w:type="dxa" w:w="90"/>
              <w:right w:type="dxa" w:w="120"/>
            </w:tcMar>
          </w:tcPr>
          <w:p>
            <w:r>
              <w:rPr>
                <w:color w:val="222222"/>
                <w:sz w:val="19"/>
                <w:szCs w:val="19"/>
              </w:rPr>
              <w:t xml:space="preserve">Abu Dhabi / Dubai</w:t>
            </w:r>
          </w:p>
        </w:tc>
        <w:tc>
          <w:tcPr>
            <w:tcW w:type="dxa" w:w="2057"/>
            <w:shd w:fill="FFFFFF" w:val="clear"/>
            <w:tcMar>
              <w:top w:type="dxa" w:w="90"/>
              <w:left w:type="dxa" w:w="120"/>
              <w:bottom w:type="dxa" w:w="90"/>
              <w:right w:type="dxa" w:w="120"/>
            </w:tcMar>
          </w:tcPr>
          <w:p>
            <w:r>
              <w:rPr>
                <w:color w:val="222222"/>
                <w:sz w:val="19"/>
                <w:szCs w:val="19"/>
              </w:rPr>
              <w:t xml:space="preserve">Consumer super-app AI, fintech</w:t>
            </w:r>
          </w:p>
        </w:tc>
        <w:tc>
          <w:tcPr>
            <w:tcW w:type="dxa" w:w="1777"/>
            <w:shd w:fill="FFFFFF" w:val="clear"/>
            <w:tcMar>
              <w:top w:type="dxa" w:w="90"/>
              <w:left w:type="dxa" w:w="120"/>
              <w:bottom w:type="dxa" w:w="90"/>
              <w:right w:type="dxa" w:w="120"/>
            </w:tcMar>
          </w:tcPr>
          <w:p>
            <w:r>
              <w:rPr>
                <w:color w:val="222222"/>
                <w:sz w:val="19"/>
                <w:szCs w:val="19"/>
              </w:rPr>
              <w:t xml:space="preserve">Fintech, consumer services</w:t>
            </w:r>
          </w:p>
        </w:tc>
        <w:tc>
          <w:tcPr>
            <w:tcW w:type="dxa" w:w="2057"/>
            <w:shd w:fill="FFFFFF" w:val="clear"/>
            <w:tcMar>
              <w:top w:type="dxa" w:w="90"/>
              <w:left w:type="dxa" w:w="120"/>
              <w:bottom w:type="dxa" w:w="90"/>
              <w:right w:type="dxa" w:w="120"/>
            </w:tcMar>
          </w:tcPr>
          <w:p>
            <w:r>
              <w:rPr>
                <w:color w:val="222222"/>
                <w:sz w:val="19"/>
                <w:szCs w:val="19"/>
              </w:rPr>
              <w:t xml:space="preserve">Consumer-scale personalization and lending AI</w:t>
            </w:r>
          </w:p>
        </w:tc>
        <w:tc>
          <w:tcPr>
            <w:tcW w:type="dxa" w:w="1029"/>
            <w:shd w:fill="FFFFFF" w:val="clear"/>
            <w:tcMar>
              <w:top w:type="dxa" w:w="90"/>
              <w:left w:type="dxa" w:w="120"/>
              <w:bottom w:type="dxa" w:w="90"/>
              <w:right w:type="dxa" w:w="120"/>
            </w:tcMar>
          </w:tcPr>
          <w:p>
            <w:r>
              <w:rPr>
                <w:color w:val="222222"/>
                <w:sz w:val="19"/>
                <w:szCs w:val="19"/>
              </w:rPr>
              <w:t xml:space="preserve">Large (startup group)</w:t>
            </w:r>
          </w:p>
        </w:tc>
      </w:tr>
      <w:tr>
        <w:tc>
          <w:tcPr>
            <w:tcW w:type="dxa" w:w="1216"/>
            <w:shd w:fill="F2F2F2" w:val="clear"/>
            <w:tcMar>
              <w:top w:type="dxa" w:w="90"/>
              <w:left w:type="dxa" w:w="120"/>
              <w:bottom w:type="dxa" w:w="90"/>
              <w:right w:type="dxa" w:w="120"/>
            </w:tcMar>
          </w:tcPr>
          <w:p>
            <w:r>
              <w:rPr>
                <w:color w:val="222222"/>
                <w:sz w:val="19"/>
                <w:szCs w:val="19"/>
              </w:rPr>
              <w:t xml:space="preserve">Space42</w:t>
            </w:r>
          </w:p>
        </w:tc>
        <w:tc>
          <w:tcPr>
            <w:tcW w:type="dxa" w:w="1216"/>
            <w:shd w:fill="F2F2F2" w:val="clear"/>
            <w:tcMar>
              <w:top w:type="dxa" w:w="90"/>
              <w:left w:type="dxa" w:w="120"/>
              <w:bottom w:type="dxa" w:w="90"/>
              <w:right w:type="dxa" w:w="120"/>
            </w:tcMar>
          </w:tcPr>
          <w:p>
            <w:r>
              <w:rPr>
                <w:color w:val="222222"/>
                <w:sz w:val="19"/>
                <w:szCs w:val="19"/>
              </w:rPr>
              <w:t xml:space="preserve">Abu Dhabi</w:t>
            </w:r>
          </w:p>
        </w:tc>
        <w:tc>
          <w:tcPr>
            <w:tcW w:type="dxa" w:w="2057"/>
            <w:shd w:fill="F2F2F2" w:val="clear"/>
            <w:tcMar>
              <w:top w:type="dxa" w:w="90"/>
              <w:left w:type="dxa" w:w="120"/>
              <w:bottom w:type="dxa" w:w="90"/>
              <w:right w:type="dxa" w:w="120"/>
            </w:tcMar>
          </w:tcPr>
          <w:p>
            <w:r>
              <w:rPr>
                <w:color w:val="222222"/>
                <w:sz w:val="19"/>
                <w:szCs w:val="19"/>
              </w:rPr>
              <w:t xml:space="preserve">Satellite and space AI</w:t>
            </w:r>
          </w:p>
        </w:tc>
        <w:tc>
          <w:tcPr>
            <w:tcW w:type="dxa" w:w="1777"/>
            <w:shd w:fill="F2F2F2" w:val="clear"/>
            <w:tcMar>
              <w:top w:type="dxa" w:w="90"/>
              <w:left w:type="dxa" w:w="120"/>
              <w:bottom w:type="dxa" w:w="90"/>
              <w:right w:type="dxa" w:w="120"/>
            </w:tcMar>
          </w:tcPr>
          <w:p>
            <w:r>
              <w:rPr>
                <w:color w:val="222222"/>
                <w:sz w:val="19"/>
                <w:szCs w:val="19"/>
              </w:rPr>
              <w:t xml:space="preserve">Defense, agriculture, telecom</w:t>
            </w:r>
          </w:p>
        </w:tc>
        <w:tc>
          <w:tcPr>
            <w:tcW w:type="dxa" w:w="2057"/>
            <w:shd w:fill="F2F2F2" w:val="clear"/>
            <w:tcMar>
              <w:top w:type="dxa" w:w="90"/>
              <w:left w:type="dxa" w:w="120"/>
              <w:bottom w:type="dxa" w:w="90"/>
              <w:right w:type="dxa" w:w="120"/>
            </w:tcMar>
          </w:tcPr>
          <w:p>
            <w:r>
              <w:rPr>
                <w:color w:val="222222"/>
                <w:sz w:val="19"/>
                <w:szCs w:val="19"/>
              </w:rPr>
              <w:t xml:space="preserve">Earth-observation and space data AI</w:t>
            </w:r>
          </w:p>
        </w:tc>
        <w:tc>
          <w:tcPr>
            <w:tcW w:type="dxa" w:w="1029"/>
            <w:shd w:fill="F2F2F2" w:val="clear"/>
            <w:tcMar>
              <w:top w:type="dxa" w:w="90"/>
              <w:left w:type="dxa" w:w="120"/>
              <w:bottom w:type="dxa" w:w="90"/>
              <w:right w:type="dxa" w:w="120"/>
            </w:tcMar>
          </w:tcPr>
          <w:p>
            <w:r>
              <w:rPr>
                <w:color w:val="222222"/>
                <w:sz w:val="19"/>
                <w:szCs w:val="19"/>
              </w:rPr>
              <w:t xml:space="preserve">Mid-size</w:t>
            </w:r>
          </w:p>
        </w:tc>
      </w:tr>
      <w:tr>
        <w:tc>
          <w:tcPr>
            <w:tcW w:type="dxa" w:w="1216"/>
            <w:shd w:fill="FFFFFF" w:val="clear"/>
            <w:tcMar>
              <w:top w:type="dxa" w:w="90"/>
              <w:left w:type="dxa" w:w="120"/>
              <w:bottom w:type="dxa" w:w="90"/>
              <w:right w:type="dxa" w:w="120"/>
            </w:tcMar>
          </w:tcPr>
          <w:p>
            <w:r>
              <w:rPr>
                <w:color w:val="222222"/>
                <w:sz w:val="19"/>
                <w:szCs w:val="19"/>
              </w:rPr>
              <w:t xml:space="preserve">TII</w:t>
            </w:r>
          </w:p>
        </w:tc>
        <w:tc>
          <w:tcPr>
            <w:tcW w:type="dxa" w:w="1216"/>
            <w:shd w:fill="FFFFFF" w:val="clear"/>
            <w:tcMar>
              <w:top w:type="dxa" w:w="90"/>
              <w:left w:type="dxa" w:w="120"/>
              <w:bottom w:type="dxa" w:w="90"/>
              <w:right w:type="dxa" w:w="120"/>
            </w:tcMar>
          </w:tcPr>
          <w:p>
            <w:r>
              <w:rPr>
                <w:color w:val="222222"/>
                <w:sz w:val="19"/>
                <w:szCs w:val="19"/>
              </w:rPr>
              <w:t xml:space="preserve">Abu Dhabi</w:t>
            </w:r>
          </w:p>
        </w:tc>
        <w:tc>
          <w:tcPr>
            <w:tcW w:type="dxa" w:w="2057"/>
            <w:shd w:fill="FFFFFF" w:val="clear"/>
            <w:tcMar>
              <w:top w:type="dxa" w:w="90"/>
              <w:left w:type="dxa" w:w="120"/>
              <w:bottom w:type="dxa" w:w="90"/>
              <w:right w:type="dxa" w:w="120"/>
            </w:tcMar>
          </w:tcPr>
          <w:p>
            <w:r>
              <w:rPr>
                <w:color w:val="222222"/>
                <w:sz w:val="19"/>
                <w:szCs w:val="19"/>
              </w:rPr>
              <w:t xml:space="preserve">Foundation-model research (Falcon)</w:t>
            </w:r>
          </w:p>
        </w:tc>
        <w:tc>
          <w:tcPr>
            <w:tcW w:type="dxa" w:w="1777"/>
            <w:shd w:fill="FFFFFF" w:val="clear"/>
            <w:tcMar>
              <w:top w:type="dxa" w:w="90"/>
              <w:left w:type="dxa" w:w="120"/>
              <w:bottom w:type="dxa" w:w="90"/>
              <w:right w:type="dxa" w:w="120"/>
            </w:tcMar>
          </w:tcPr>
          <w:p>
            <w:r>
              <w:rPr>
                <w:color w:val="222222"/>
                <w:sz w:val="19"/>
                <w:szCs w:val="19"/>
              </w:rPr>
              <w:t xml:space="preserve">Research, developers</w:t>
            </w:r>
          </w:p>
        </w:tc>
        <w:tc>
          <w:tcPr>
            <w:tcW w:type="dxa" w:w="2057"/>
            <w:shd w:fill="FFFFFF" w:val="clear"/>
            <w:tcMar>
              <w:top w:type="dxa" w:w="90"/>
              <w:left w:type="dxa" w:w="120"/>
              <w:bottom w:type="dxa" w:w="90"/>
              <w:right w:type="dxa" w:w="120"/>
            </w:tcMar>
          </w:tcPr>
          <w:p>
            <w:r>
              <w:rPr>
                <w:color w:val="222222"/>
                <w:sz w:val="19"/>
                <w:szCs w:val="19"/>
              </w:rPr>
              <w:t xml:space="preserve">Open-weight LLM access and research partnerships</w:t>
            </w:r>
          </w:p>
        </w:tc>
        <w:tc>
          <w:tcPr>
            <w:tcW w:type="dxa" w:w="1029"/>
            <w:shd w:fill="FFFFFF" w:val="clear"/>
            <w:tcMar>
              <w:top w:type="dxa" w:w="90"/>
              <w:left w:type="dxa" w:w="120"/>
              <w:bottom w:type="dxa" w:w="90"/>
              <w:right w:type="dxa" w:w="120"/>
            </w:tcMar>
          </w:tcPr>
          <w:p>
            <w:r>
              <w:rPr>
                <w:color w:val="222222"/>
                <w:sz w:val="19"/>
                <w:szCs w:val="19"/>
              </w:rPr>
              <w:t xml:space="preserve">Large (institute)</w:t>
            </w:r>
          </w:p>
        </w:tc>
      </w:tr>
      <w:tr>
        <w:tc>
          <w:tcPr>
            <w:tcW w:type="dxa" w:w="1216"/>
            <w:shd w:fill="F2F2F2" w:val="clear"/>
            <w:tcMar>
              <w:top w:type="dxa" w:w="90"/>
              <w:left w:type="dxa" w:w="120"/>
              <w:bottom w:type="dxa" w:w="90"/>
              <w:right w:type="dxa" w:w="120"/>
            </w:tcMar>
          </w:tcPr>
          <w:p>
            <w:r>
              <w:rPr>
                <w:color w:val="222222"/>
                <w:sz w:val="19"/>
                <w:szCs w:val="19"/>
              </w:rPr>
              <w:t xml:space="preserve">MBZUAI</w:t>
            </w:r>
          </w:p>
        </w:tc>
        <w:tc>
          <w:tcPr>
            <w:tcW w:type="dxa" w:w="1216"/>
            <w:shd w:fill="F2F2F2" w:val="clear"/>
            <w:tcMar>
              <w:top w:type="dxa" w:w="90"/>
              <w:left w:type="dxa" w:w="120"/>
              <w:bottom w:type="dxa" w:w="90"/>
              <w:right w:type="dxa" w:w="120"/>
            </w:tcMar>
          </w:tcPr>
          <w:p>
            <w:r>
              <w:rPr>
                <w:color w:val="222222"/>
                <w:sz w:val="19"/>
                <w:szCs w:val="19"/>
              </w:rPr>
              <w:t xml:space="preserve">Abu Dhabi</w:t>
            </w:r>
          </w:p>
        </w:tc>
        <w:tc>
          <w:tcPr>
            <w:tcW w:type="dxa" w:w="2057"/>
            <w:shd w:fill="F2F2F2" w:val="clear"/>
            <w:tcMar>
              <w:top w:type="dxa" w:w="90"/>
              <w:left w:type="dxa" w:w="120"/>
              <w:bottom w:type="dxa" w:w="90"/>
              <w:right w:type="dxa" w:w="120"/>
            </w:tcMar>
          </w:tcPr>
          <w:p>
            <w:r>
              <w:rPr>
                <w:color w:val="222222"/>
                <w:sz w:val="19"/>
                <w:szCs w:val="19"/>
              </w:rPr>
              <w:t xml:space="preserve">AI research and talent</w:t>
            </w:r>
          </w:p>
        </w:tc>
        <w:tc>
          <w:tcPr>
            <w:tcW w:type="dxa" w:w="1777"/>
            <w:shd w:fill="F2F2F2" w:val="clear"/>
            <w:tcMar>
              <w:top w:type="dxa" w:w="90"/>
              <w:left w:type="dxa" w:w="120"/>
              <w:bottom w:type="dxa" w:w="90"/>
              <w:right w:type="dxa" w:w="120"/>
            </w:tcMar>
          </w:tcPr>
          <w:p>
            <w:r>
              <w:rPr>
                <w:color w:val="222222"/>
                <w:sz w:val="19"/>
                <w:szCs w:val="19"/>
              </w:rPr>
              <w:t xml:space="preserve">Academia, R&amp;D partners</w:t>
            </w:r>
          </w:p>
        </w:tc>
        <w:tc>
          <w:tcPr>
            <w:tcW w:type="dxa" w:w="2057"/>
            <w:shd w:fill="F2F2F2" w:val="clear"/>
            <w:tcMar>
              <w:top w:type="dxa" w:w="90"/>
              <w:left w:type="dxa" w:w="120"/>
              <w:bottom w:type="dxa" w:w="90"/>
              <w:right w:type="dxa" w:w="120"/>
            </w:tcMar>
          </w:tcPr>
          <w:p>
            <w:r>
              <w:rPr>
                <w:color w:val="222222"/>
                <w:sz w:val="19"/>
                <w:szCs w:val="19"/>
              </w:rPr>
              <w:t xml:space="preserve">Research collaboration and talent sourcing</w:t>
            </w:r>
          </w:p>
        </w:tc>
        <w:tc>
          <w:tcPr>
            <w:tcW w:type="dxa" w:w="1029"/>
            <w:shd w:fill="F2F2F2" w:val="clear"/>
            <w:tcMar>
              <w:top w:type="dxa" w:w="90"/>
              <w:left w:type="dxa" w:w="120"/>
              <w:bottom w:type="dxa" w:w="90"/>
              <w:right w:type="dxa" w:w="120"/>
            </w:tcMar>
          </w:tcPr>
          <w:p>
            <w:r>
              <w:rPr>
                <w:color w:val="222222"/>
                <w:sz w:val="19"/>
                <w:szCs w:val="19"/>
              </w:rPr>
              <w:t xml:space="preserve">Institution</w:t>
            </w:r>
          </w:p>
        </w:tc>
      </w:tr>
      <w:tr>
        <w:tc>
          <w:tcPr>
            <w:tcW w:type="dxa" w:w="1216"/>
            <w:shd w:fill="FFFFFF" w:val="clear"/>
            <w:tcMar>
              <w:top w:type="dxa" w:w="90"/>
              <w:left w:type="dxa" w:w="120"/>
              <w:bottom w:type="dxa" w:w="90"/>
              <w:right w:type="dxa" w:w="120"/>
            </w:tcMar>
          </w:tcPr>
          <w:p>
            <w:r>
              <w:rPr>
                <w:color w:val="222222"/>
                <w:sz w:val="19"/>
                <w:szCs w:val="19"/>
              </w:rPr>
              <w:t xml:space="preserve">Saal.ai</w:t>
            </w:r>
          </w:p>
        </w:tc>
        <w:tc>
          <w:tcPr>
            <w:tcW w:type="dxa" w:w="1216"/>
            <w:shd w:fill="FFFFFF" w:val="clear"/>
            <w:tcMar>
              <w:top w:type="dxa" w:w="90"/>
              <w:left w:type="dxa" w:w="120"/>
              <w:bottom w:type="dxa" w:w="90"/>
              <w:right w:type="dxa" w:w="120"/>
            </w:tcMar>
          </w:tcPr>
          <w:p>
            <w:r>
              <w:rPr>
                <w:color w:val="222222"/>
                <w:sz w:val="19"/>
                <w:szCs w:val="19"/>
              </w:rPr>
              <w:t xml:space="preserve">Abu Dhabi</w:t>
            </w:r>
          </w:p>
        </w:tc>
        <w:tc>
          <w:tcPr>
            <w:tcW w:type="dxa" w:w="2057"/>
            <w:shd w:fill="FFFFFF" w:val="clear"/>
            <w:tcMar>
              <w:top w:type="dxa" w:w="90"/>
              <w:left w:type="dxa" w:w="120"/>
              <w:bottom w:type="dxa" w:w="90"/>
              <w:right w:type="dxa" w:w="120"/>
            </w:tcMar>
          </w:tcPr>
          <w:p>
            <w:r>
              <w:rPr>
                <w:color w:val="222222"/>
                <w:sz w:val="19"/>
                <w:szCs w:val="19"/>
              </w:rPr>
              <w:t xml:space="preserve">Applied cognitive AI, agentic AI</w:t>
            </w:r>
          </w:p>
        </w:tc>
        <w:tc>
          <w:tcPr>
            <w:tcW w:type="dxa" w:w="1777"/>
            <w:shd w:fill="FFFFFF" w:val="clear"/>
            <w:tcMar>
              <w:top w:type="dxa" w:w="90"/>
              <w:left w:type="dxa" w:w="120"/>
              <w:bottom w:type="dxa" w:w="90"/>
              <w:right w:type="dxa" w:w="120"/>
            </w:tcMar>
          </w:tcPr>
          <w:p>
            <w:r>
              <w:rPr>
                <w:color w:val="222222"/>
                <w:sz w:val="19"/>
                <w:szCs w:val="19"/>
              </w:rPr>
              <w:t xml:space="preserve">Government, enterprise</w:t>
            </w:r>
          </w:p>
        </w:tc>
        <w:tc>
          <w:tcPr>
            <w:tcW w:type="dxa" w:w="2057"/>
            <w:shd w:fill="FFFFFF" w:val="clear"/>
            <w:tcMar>
              <w:top w:type="dxa" w:w="90"/>
              <w:left w:type="dxa" w:w="120"/>
              <w:bottom w:type="dxa" w:w="90"/>
              <w:right w:type="dxa" w:w="120"/>
            </w:tcMar>
          </w:tcPr>
          <w:p>
            <w:r>
              <w:rPr>
                <w:color w:val="222222"/>
                <w:sz w:val="19"/>
                <w:szCs w:val="19"/>
              </w:rPr>
              <w:t xml:space="preserve">Sovereign and agentic AI projects</w:t>
            </w:r>
          </w:p>
        </w:tc>
        <w:tc>
          <w:tcPr>
            <w:tcW w:type="dxa" w:w="1029"/>
            <w:shd w:fill="FFFFFF" w:val="clear"/>
            <w:tcMar>
              <w:top w:type="dxa" w:w="90"/>
              <w:left w:type="dxa" w:w="120"/>
              <w:bottom w:type="dxa" w:w="90"/>
              <w:right w:type="dxa" w:w="120"/>
            </w:tcMar>
          </w:tcPr>
          <w:p>
            <w:r>
              <w:rPr>
                <w:color w:val="222222"/>
                <w:sz w:val="19"/>
                <w:szCs w:val="19"/>
              </w:rPr>
              <w:t xml:space="preserve">Mid-size</w:t>
            </w:r>
          </w:p>
        </w:tc>
      </w:tr>
      <w:tr>
        <w:tc>
          <w:tcPr>
            <w:tcW w:type="dxa" w:w="1216"/>
            <w:shd w:fill="F2F2F2" w:val="clear"/>
            <w:tcMar>
              <w:top w:type="dxa" w:w="90"/>
              <w:left w:type="dxa" w:w="120"/>
              <w:bottom w:type="dxa" w:w="90"/>
              <w:right w:type="dxa" w:w="120"/>
            </w:tcMar>
          </w:tcPr>
          <w:p>
            <w:r>
              <w:rPr>
                <w:color w:val="222222"/>
                <w:sz w:val="19"/>
                <w:szCs w:val="19"/>
              </w:rPr>
              <w:t xml:space="preserve">Derq</w:t>
            </w:r>
          </w:p>
        </w:tc>
        <w:tc>
          <w:tcPr>
            <w:tcW w:type="dxa" w:w="1216"/>
            <w:shd w:fill="F2F2F2" w:val="clear"/>
            <w:tcMar>
              <w:top w:type="dxa" w:w="90"/>
              <w:left w:type="dxa" w:w="120"/>
              <w:bottom w:type="dxa" w:w="90"/>
              <w:right w:type="dxa" w:w="120"/>
            </w:tcMar>
          </w:tcPr>
          <w:p>
            <w:r>
              <w:rPr>
                <w:color w:val="222222"/>
                <w:sz w:val="19"/>
                <w:szCs w:val="19"/>
              </w:rPr>
              <w:t xml:space="preserve">Dubai</w:t>
            </w:r>
          </w:p>
        </w:tc>
        <w:tc>
          <w:tcPr>
            <w:tcW w:type="dxa" w:w="2057"/>
            <w:shd w:fill="F2F2F2" w:val="clear"/>
            <w:tcMar>
              <w:top w:type="dxa" w:w="90"/>
              <w:left w:type="dxa" w:w="120"/>
              <w:bottom w:type="dxa" w:w="90"/>
              <w:right w:type="dxa" w:w="120"/>
            </w:tcMar>
          </w:tcPr>
          <w:p>
            <w:r>
              <w:rPr>
                <w:color w:val="222222"/>
                <w:sz w:val="19"/>
                <w:szCs w:val="19"/>
              </w:rPr>
              <w:t xml:space="preserve">Traffic AI, road safety</w:t>
            </w:r>
          </w:p>
        </w:tc>
        <w:tc>
          <w:tcPr>
            <w:tcW w:type="dxa" w:w="1777"/>
            <w:shd w:fill="F2F2F2" w:val="clear"/>
            <w:tcMar>
              <w:top w:type="dxa" w:w="90"/>
              <w:left w:type="dxa" w:w="120"/>
              <w:bottom w:type="dxa" w:w="90"/>
              <w:right w:type="dxa" w:w="120"/>
            </w:tcMar>
          </w:tcPr>
          <w:p>
            <w:r>
              <w:rPr>
                <w:color w:val="222222"/>
                <w:sz w:val="19"/>
                <w:szCs w:val="19"/>
              </w:rPr>
              <w:t xml:space="preserve">Government, transport</w:t>
            </w:r>
          </w:p>
        </w:tc>
        <w:tc>
          <w:tcPr>
            <w:tcW w:type="dxa" w:w="2057"/>
            <w:shd w:fill="F2F2F2" w:val="clear"/>
            <w:tcMar>
              <w:top w:type="dxa" w:w="90"/>
              <w:left w:type="dxa" w:w="120"/>
              <w:bottom w:type="dxa" w:w="90"/>
              <w:right w:type="dxa" w:w="120"/>
            </w:tcMar>
          </w:tcPr>
          <w:p>
            <w:r>
              <w:rPr>
                <w:color w:val="222222"/>
                <w:sz w:val="19"/>
                <w:szCs w:val="19"/>
              </w:rPr>
              <w:t xml:space="preserve">Smart-city and road-safety deployments</w:t>
            </w:r>
          </w:p>
        </w:tc>
        <w:tc>
          <w:tcPr>
            <w:tcW w:type="dxa" w:w="1029"/>
            <w:shd w:fill="F2F2F2" w:val="clear"/>
            <w:tcMar>
              <w:top w:type="dxa" w:w="90"/>
              <w:left w:type="dxa" w:w="120"/>
              <w:bottom w:type="dxa" w:w="90"/>
              <w:right w:type="dxa" w:w="120"/>
            </w:tcMar>
          </w:tcPr>
          <w:p>
            <w:r>
              <w:rPr>
                <w:color w:val="222222"/>
                <w:sz w:val="19"/>
                <w:szCs w:val="19"/>
              </w:rPr>
              <w:t xml:space="preserve">Startup</w:t>
            </w:r>
          </w:p>
        </w:tc>
      </w:tr>
      <w:tr>
        <w:tc>
          <w:tcPr>
            <w:tcW w:type="dxa" w:w="1216"/>
            <w:shd w:fill="FFFFFF" w:val="clear"/>
            <w:tcMar>
              <w:top w:type="dxa" w:w="90"/>
              <w:left w:type="dxa" w:w="120"/>
              <w:bottom w:type="dxa" w:w="90"/>
              <w:right w:type="dxa" w:w="120"/>
            </w:tcMar>
          </w:tcPr>
          <w:p>
            <w:r>
              <w:rPr>
                <w:color w:val="222222"/>
                <w:sz w:val="19"/>
                <w:szCs w:val="19"/>
              </w:rPr>
              <w:t xml:space="preserve">Nybl</w:t>
            </w:r>
          </w:p>
        </w:tc>
        <w:tc>
          <w:tcPr>
            <w:tcW w:type="dxa" w:w="1216"/>
            <w:shd w:fill="FFFFFF" w:val="clear"/>
            <w:tcMar>
              <w:top w:type="dxa" w:w="90"/>
              <w:left w:type="dxa" w:w="120"/>
              <w:bottom w:type="dxa" w:w="90"/>
              <w:right w:type="dxa" w:w="120"/>
            </w:tcMar>
          </w:tcPr>
          <w:p>
            <w:r>
              <w:rPr>
                <w:color w:val="222222"/>
                <w:sz w:val="19"/>
                <w:szCs w:val="19"/>
              </w:rPr>
              <w:t xml:space="preserve">Dubai</w:t>
            </w:r>
          </w:p>
        </w:tc>
        <w:tc>
          <w:tcPr>
            <w:tcW w:type="dxa" w:w="2057"/>
            <w:shd w:fill="FFFFFF" w:val="clear"/>
            <w:tcMar>
              <w:top w:type="dxa" w:w="90"/>
              <w:left w:type="dxa" w:w="120"/>
              <w:bottom w:type="dxa" w:w="90"/>
              <w:right w:type="dxa" w:w="120"/>
            </w:tcMar>
          </w:tcPr>
          <w:p>
            <w:r>
              <w:rPr>
                <w:color w:val="222222"/>
                <w:sz w:val="19"/>
                <w:szCs w:val="19"/>
              </w:rPr>
              <w:t xml:space="preserve">Industrial AI, predictive optimization</w:t>
            </w:r>
          </w:p>
        </w:tc>
        <w:tc>
          <w:tcPr>
            <w:tcW w:type="dxa" w:w="1777"/>
            <w:shd w:fill="FFFFFF" w:val="clear"/>
            <w:tcMar>
              <w:top w:type="dxa" w:w="90"/>
              <w:left w:type="dxa" w:w="120"/>
              <w:bottom w:type="dxa" w:w="90"/>
              <w:right w:type="dxa" w:w="120"/>
            </w:tcMar>
          </w:tcPr>
          <w:p>
            <w:r>
              <w:rPr>
                <w:color w:val="222222"/>
                <w:sz w:val="19"/>
                <w:szCs w:val="19"/>
              </w:rPr>
              <w:t xml:space="preserve">Oil &amp; gas, manufacturing</w:t>
            </w:r>
          </w:p>
        </w:tc>
        <w:tc>
          <w:tcPr>
            <w:tcW w:type="dxa" w:w="2057"/>
            <w:shd w:fill="FFFFFF" w:val="clear"/>
            <w:tcMar>
              <w:top w:type="dxa" w:w="90"/>
              <w:left w:type="dxa" w:w="120"/>
              <w:bottom w:type="dxa" w:w="90"/>
              <w:right w:type="dxa" w:w="120"/>
            </w:tcMar>
          </w:tcPr>
          <w:p>
            <w:r>
              <w:rPr>
                <w:color w:val="222222"/>
                <w:sz w:val="19"/>
                <w:szCs w:val="19"/>
              </w:rPr>
              <w:t xml:space="preserve">Industrial and predictive-maintenance AI</w:t>
            </w:r>
          </w:p>
        </w:tc>
        <w:tc>
          <w:tcPr>
            <w:tcW w:type="dxa" w:w="1029"/>
            <w:shd w:fill="FFFFFF" w:val="clear"/>
            <w:tcMar>
              <w:top w:type="dxa" w:w="90"/>
              <w:left w:type="dxa" w:w="120"/>
              <w:bottom w:type="dxa" w:w="90"/>
              <w:right w:type="dxa" w:w="120"/>
            </w:tcMar>
          </w:tcPr>
          <w:p>
            <w:r>
              <w:rPr>
                <w:color w:val="222222"/>
                <w:sz w:val="19"/>
                <w:szCs w:val="19"/>
              </w:rPr>
              <w:t xml:space="preserve">Startup</w:t>
            </w:r>
          </w:p>
        </w:tc>
      </w:tr>
      <w:tr>
        <w:tc>
          <w:tcPr>
            <w:tcW w:type="dxa" w:w="1216"/>
            <w:shd w:fill="F2F2F2" w:val="clear"/>
            <w:tcMar>
              <w:top w:type="dxa" w:w="90"/>
              <w:left w:type="dxa" w:w="120"/>
              <w:bottom w:type="dxa" w:w="90"/>
              <w:right w:type="dxa" w:w="120"/>
            </w:tcMar>
          </w:tcPr>
          <w:p>
            <w:r>
              <w:rPr>
                <w:color w:val="222222"/>
                <w:sz w:val="19"/>
                <w:szCs w:val="19"/>
              </w:rPr>
              <w:t xml:space="preserve">Servchip</w:t>
            </w:r>
          </w:p>
        </w:tc>
        <w:tc>
          <w:tcPr>
            <w:tcW w:type="dxa" w:w="1216"/>
            <w:shd w:fill="F2F2F2" w:val="clear"/>
            <w:tcMar>
              <w:top w:type="dxa" w:w="90"/>
              <w:left w:type="dxa" w:w="120"/>
              <w:bottom w:type="dxa" w:w="90"/>
              <w:right w:type="dxa" w:w="120"/>
            </w:tcMar>
          </w:tcPr>
          <w:p>
            <w:r>
              <w:rPr>
                <w:color w:val="222222"/>
                <w:sz w:val="19"/>
                <w:szCs w:val="19"/>
              </w:rPr>
              <w:t xml:space="preserve">India / UAE</w:t>
            </w:r>
          </w:p>
        </w:tc>
        <w:tc>
          <w:tcPr>
            <w:tcW w:type="dxa" w:w="2057"/>
            <w:shd w:fill="F2F2F2" w:val="clear"/>
            <w:tcMar>
              <w:top w:type="dxa" w:w="90"/>
              <w:left w:type="dxa" w:w="120"/>
              <w:bottom w:type="dxa" w:w="90"/>
              <w:right w:type="dxa" w:w="120"/>
            </w:tcMar>
          </w:tcPr>
          <w:p>
            <w:r>
              <w:rPr>
                <w:color w:val="222222"/>
                <w:sz w:val="19"/>
                <w:szCs w:val="19"/>
              </w:rPr>
              <w:t xml:space="preserve">GPU and AI accelerator distribution</w:t>
            </w:r>
          </w:p>
        </w:tc>
        <w:tc>
          <w:tcPr>
            <w:tcW w:type="dxa" w:w="1777"/>
            <w:shd w:fill="F2F2F2" w:val="clear"/>
            <w:tcMar>
              <w:top w:type="dxa" w:w="90"/>
              <w:left w:type="dxa" w:w="120"/>
              <w:bottom w:type="dxa" w:w="90"/>
              <w:right w:type="dxa" w:w="120"/>
            </w:tcMar>
          </w:tcPr>
          <w:p>
            <w:r>
              <w:rPr>
                <w:color w:val="222222"/>
                <w:sz w:val="19"/>
                <w:szCs w:val="19"/>
              </w:rPr>
              <w:t xml:space="preserve">Enterprise buyers, data centres</w:t>
            </w:r>
          </w:p>
        </w:tc>
        <w:tc>
          <w:tcPr>
            <w:tcW w:type="dxa" w:w="2057"/>
            <w:shd w:fill="F2F2F2" w:val="clear"/>
            <w:tcMar>
              <w:top w:type="dxa" w:w="90"/>
              <w:left w:type="dxa" w:w="120"/>
              <w:bottom w:type="dxa" w:w="90"/>
              <w:right w:type="dxa" w:w="120"/>
            </w:tcMar>
          </w:tcPr>
          <w:p>
            <w:r>
              <w:rPr>
                <w:color w:val="222222"/>
                <w:sz w:val="19"/>
                <w:szCs w:val="19"/>
              </w:rPr>
              <w:t xml:space="preserve">Hardware sourcing for AI deployments</w:t>
            </w:r>
          </w:p>
        </w:tc>
        <w:tc>
          <w:tcPr>
            <w:tcW w:type="dxa" w:w="1029"/>
            <w:shd w:fill="F2F2F2" w:val="clear"/>
            <w:tcMar>
              <w:top w:type="dxa" w:w="90"/>
              <w:left w:type="dxa" w:w="120"/>
              <w:bottom w:type="dxa" w:w="90"/>
              <w:right w:type="dxa" w:w="120"/>
            </w:tcMar>
          </w:tcPr>
          <w:p>
            <w:r>
              <w:rPr>
                <w:color w:val="222222"/>
                <w:sz w:val="19"/>
                <w:szCs w:val="19"/>
              </w:rPr>
              <w:t xml:space="preserve">Mid-size (distributor)</w:t>
            </w:r>
          </w:p>
        </w:tc>
      </w:tr>
    </w:tbl>
    <w:p>
      <w:pPr>
        <w:pStyle w:val="Heading2"/>
        <w:pBdr>
          <w:bottom w:val="single" w:color="1F3864" w:sz="6" w:space="4"/>
        </w:pBdr>
        <w:spacing w:after="180" w:before="320"/>
      </w:pPr>
      <w:r>
        <w:rPr>
          <w:b/>
          <w:bCs/>
          <w:color w:val="1F3864"/>
          <w:sz w:val="30"/>
          <w:szCs w:val="30"/>
        </w:rPr>
        <w:t xml:space="preserve">Best AI Companies by Industry</w:t>
      </w:r>
    </w:p>
    <w:p>
      <w:pPr>
        <w:spacing w:after="160"/>
      </w:pPr>
      <w:r>
        <w:rPr>
          <w:color w:val="222222"/>
          <w:sz w:val="22"/>
          <w:szCs w:val="22"/>
        </w:rPr>
        <w:t xml:space="preserve">Match the vertical you operate in to the players with the deepest track record there. Coverage varies significantly by sector; some, like retail and manufacturing AI, are still consolidating around a smaller number of specialist vendors.</w:t>
      </w:r>
    </w:p>
    <w:p>
      <w:pPr>
        <w:spacing w:after="160"/>
      </w:pPr>
      <w:r>
        <w:rPr>
          <w:b/>
          <w:bCs/>
          <w:color w:val="222222"/>
          <w:sz w:val="22"/>
          <w:szCs w:val="22"/>
        </w:rPr>
        <w:t xml:space="preserve">Healthcare: </w:t>
      </w:r>
      <w:r>
        <w:rPr>
          <w:color w:val="222222"/>
          <w:sz w:val="22"/>
          <w:szCs w:val="22"/>
        </w:rPr>
        <w:t xml:space="preserve">M42 leads on clinical imaging and hospital-operations AI through its Mubadala healthcare backing; G42 group companies support broader health-data infrastructure.</w:t>
      </w:r>
    </w:p>
    <w:p>
      <w:pPr>
        <w:spacing w:after="160"/>
      </w:pPr>
      <w:r>
        <w:rPr>
          <w:b/>
          <w:bCs/>
          <w:color w:val="222222"/>
          <w:sz w:val="22"/>
          <w:szCs w:val="22"/>
        </w:rPr>
        <w:t xml:space="preserve">Banking &amp; Finance: </w:t>
      </w:r>
      <w:r>
        <w:rPr>
          <w:color w:val="222222"/>
          <w:sz w:val="22"/>
          <w:szCs w:val="22"/>
        </w:rPr>
        <w:t xml:space="preserve">Astra Tech's Quantix arm applies AI to lending and risk at consumer-fintech scale; Core42 and G42 support AI infrastructure for regulated banks needing UAE data residency.</w:t>
      </w:r>
    </w:p>
    <w:p>
      <w:pPr>
        <w:spacing w:after="160"/>
      </w:pPr>
      <w:r>
        <w:rPr>
          <w:b/>
          <w:bCs/>
          <w:color w:val="222222"/>
          <w:sz w:val="22"/>
          <w:szCs w:val="22"/>
        </w:rPr>
        <w:t xml:space="preserve">Government: </w:t>
      </w:r>
      <w:r>
        <w:rPr>
          <w:color w:val="222222"/>
          <w:sz w:val="22"/>
          <w:szCs w:val="22"/>
        </w:rPr>
        <w:t xml:space="preserve">Presight, Inception, and Core42 dominate public-sector deployments, with Presight's air-gapped Connect platform built specifically for sensitive government workloads.</w:t>
      </w:r>
    </w:p>
    <w:p>
      <w:pPr>
        <w:spacing w:after="160"/>
      </w:pPr>
      <w:r>
        <w:rPr>
          <w:b/>
          <w:bCs/>
          <w:color w:val="222222"/>
          <w:sz w:val="22"/>
          <w:szCs w:val="22"/>
        </w:rPr>
        <w:t xml:space="preserve">Transportation &amp; Logistics: </w:t>
      </w:r>
      <w:r>
        <w:rPr>
          <w:color w:val="222222"/>
          <w:sz w:val="22"/>
          <w:szCs w:val="22"/>
        </w:rPr>
        <w:t xml:space="preserve">Derq is the clear specialist in AI-driven road safety and traffic systems; Bayanat supports geospatial and mobility-data layers for logistics planning.</w:t>
      </w:r>
    </w:p>
    <w:p>
      <w:pPr>
        <w:spacing w:after="160"/>
      </w:pPr>
      <w:r>
        <w:rPr>
          <w:b/>
          <w:bCs/>
          <w:color w:val="222222"/>
          <w:sz w:val="22"/>
          <w:szCs w:val="22"/>
        </w:rPr>
        <w:t xml:space="preserve">Energy: </w:t>
      </w:r>
      <w:r>
        <w:rPr>
          <w:color w:val="222222"/>
          <w:sz w:val="22"/>
          <w:szCs w:val="22"/>
        </w:rPr>
        <w:t xml:space="preserve">Presight's AIQ joint venture with ADNOC applies AI to oil and gas operations; Nybl also serves energy-sector clients through predictive equipment optimization.</w:t>
      </w:r>
    </w:p>
    <w:p>
      <w:pPr>
        <w:spacing w:after="160"/>
      </w:pPr>
      <w:r>
        <w:rPr>
          <w:b/>
          <w:bCs/>
          <w:color w:val="222222"/>
          <w:sz w:val="22"/>
          <w:szCs w:val="22"/>
        </w:rPr>
        <w:t xml:space="preserve">Manufacturing: </w:t>
      </w:r>
      <w:r>
        <w:rPr>
          <w:color w:val="222222"/>
          <w:sz w:val="22"/>
          <w:szCs w:val="22"/>
        </w:rPr>
        <w:t xml:space="preserve">Nybl is the most visible industrial-AI specialist, though this vertical in the UAE is still earlier-stage than government or finance AI adoption.</w:t>
      </w:r>
    </w:p>
    <w:p>
      <w:pPr>
        <w:spacing w:after="160"/>
      </w:pPr>
      <w:r>
        <w:rPr>
          <w:b/>
          <w:bCs/>
          <w:color w:val="222222"/>
          <w:sz w:val="22"/>
          <w:szCs w:val="22"/>
        </w:rPr>
        <w:t xml:space="preserve">Real Estate &amp; Smart Cities: </w:t>
      </w:r>
      <w:r>
        <w:rPr>
          <w:color w:val="222222"/>
          <w:sz w:val="22"/>
          <w:szCs w:val="22"/>
        </w:rPr>
        <w:t xml:space="preserve">Bayanat and Derq both feed into UAE smart-city programs through geospatial mapping and transportation intelligence, though dedicated real-estate-AI vendors remain a smaller, more fragmented category.</w:t>
      </w:r>
    </w:p>
    <w:p>
      <w:pPr>
        <w:spacing w:after="160"/>
      </w:pPr>
      <w:r>
        <w:rPr>
          <w:b/>
          <w:bCs/>
          <w:color w:val="222222"/>
          <w:sz w:val="22"/>
          <w:szCs w:val="22"/>
        </w:rPr>
        <w:t xml:space="preserve">Defense &amp; Space: </w:t>
      </w:r>
      <w:r>
        <w:rPr>
          <w:color w:val="222222"/>
          <w:sz w:val="22"/>
          <w:szCs w:val="22"/>
        </w:rPr>
        <w:t xml:space="preserve">Space42 and Bayanat cover satellite intelligence and geospatial defense applications, an area where the UAE has invested heavily but where most vendors serve government clients directly rather than the open market.</w:t>
      </w:r>
    </w:p>
    <w:p>
      <w:pPr>
        <w:pStyle w:val="Heading2"/>
        <w:pBdr>
          <w:bottom w:val="single" w:color="1F3864" w:sz="6" w:space="4"/>
        </w:pBdr>
        <w:spacing w:after="180" w:before="320"/>
      </w:pPr>
      <w:r>
        <w:rPr>
          <w:b/>
          <w:bCs/>
          <w:color w:val="1F3864"/>
          <w:sz w:val="30"/>
          <w:szCs w:val="30"/>
        </w:rPr>
        <w:t xml:space="preserve">Best AI Startups in the UAE to Watch</w:t>
      </w:r>
    </w:p>
    <w:p>
      <w:pPr>
        <w:spacing w:after="160"/>
      </w:pPr>
      <w:r>
        <w:rPr>
          <w:color w:val="222222"/>
          <w:sz w:val="22"/>
          <w:szCs w:val="22"/>
        </w:rPr>
        <w:t xml:space="preserve">Beyond the sovereign-backed giants, a smaller layer of venture-funded startups is building narrower, faster-moving AI products. These are worth tracking rather than treating as established enterprise vendors; funding stages and product maturity vary widely.</w:t>
      </w:r>
    </w:p>
    <w:p>
      <w:pPr>
        <w:pStyle w:val="ListParagraph"/>
        <w:numPr>
          <w:ilvl w:val="0"/>
          <w:numId w:val="2"/>
        </w:numPr>
        <w:spacing w:after="90"/>
      </w:pPr>
      <w:r>
        <w:rPr>
          <w:b/>
          <w:bCs/>
          <w:color w:val="222222"/>
          <w:sz w:val="22"/>
          <w:szCs w:val="22"/>
        </w:rPr>
        <w:t xml:space="preserve">Derq - </w:t>
      </w:r>
      <w:r>
        <w:rPr>
          <w:color w:val="222222"/>
          <w:sz w:val="22"/>
          <w:szCs w:val="22"/>
        </w:rPr>
        <w:t xml:space="preserve">Founded 2021, raised roughly $59.2 million, and already has deployed infrastructure with government transportation authorities rather than pilot-only contracts.</w:t>
      </w:r>
    </w:p>
    <w:p>
      <w:pPr>
        <w:pStyle w:val="ListParagraph"/>
        <w:numPr>
          <w:ilvl w:val="0"/>
          <w:numId w:val="2"/>
        </w:numPr>
        <w:spacing w:after="90"/>
      </w:pPr>
      <w:r>
        <w:rPr>
          <w:b/>
          <w:bCs/>
          <w:color w:val="222222"/>
          <w:sz w:val="22"/>
          <w:szCs w:val="22"/>
        </w:rPr>
        <w:t xml:space="preserve">Nybl - </w:t>
      </w:r>
      <w:r>
        <w:rPr>
          <w:color w:val="222222"/>
          <w:sz w:val="22"/>
          <w:szCs w:val="22"/>
        </w:rPr>
        <w:t xml:space="preserve">A Dubai-founded industrial AI company with distribution partnerships through Lenovo, positioning it to scale beyond the UAE into broader Gulf and international industrial markets.</w:t>
      </w:r>
    </w:p>
    <w:p>
      <w:pPr>
        <w:pStyle w:val="ListParagraph"/>
        <w:numPr>
          <w:ilvl w:val="0"/>
          <w:numId w:val="2"/>
        </w:numPr>
        <w:spacing w:after="90"/>
      </w:pPr>
      <w:r>
        <w:rPr>
          <w:b/>
          <w:bCs/>
          <w:color w:val="222222"/>
          <w:sz w:val="22"/>
          <w:szCs w:val="22"/>
        </w:rPr>
        <w:t xml:space="preserve">Qureos - </w:t>
      </w:r>
      <w:r>
        <w:rPr>
          <w:color w:val="222222"/>
          <w:sz w:val="22"/>
          <w:szCs w:val="22"/>
        </w:rPr>
        <w:t xml:space="preserve">An AI hiring-assistant startup (its product is called Iris) that raised a $5 million seed round in February 2026 from Salica Investments, Oraseya Capital, and Sunny Side Venture Partners, automating job posting, candidate screening, and outreach for UAE and Saudi employers.</w:t>
      </w:r>
    </w:p>
    <w:p>
      <w:pPr>
        <w:pStyle w:val="ListParagraph"/>
        <w:numPr>
          <w:ilvl w:val="0"/>
          <w:numId w:val="2"/>
        </w:numPr>
        <w:spacing w:after="90"/>
      </w:pPr>
      <w:r>
        <w:rPr>
          <w:b/>
          <w:bCs/>
          <w:color w:val="222222"/>
          <w:sz w:val="22"/>
          <w:szCs w:val="22"/>
        </w:rPr>
        <w:t xml:space="preserve">Astra Tech - </w:t>
      </w:r>
      <w:r>
        <w:rPr>
          <w:color w:val="222222"/>
          <w:sz w:val="22"/>
          <w:szCs w:val="22"/>
        </w:rPr>
        <w:t xml:space="preserve">Backed by G42 and now generating fintech revenue at scale through its Quantix lending arm, Astra Tech shows how a UAE AI-adjacent startup can grow from a messaging app into a diversified super-app in under four years.</w:t>
      </w:r>
    </w:p>
    <w:p>
      <w:pPr>
        <w:spacing w:after="160"/>
      </w:pPr>
      <w:r>
        <w:rPr>
          <w:color w:val="222222"/>
          <w:sz w:val="22"/>
          <w:szCs w:val="22"/>
        </w:rPr>
        <w:t xml:space="preserve">Directional note: startup funding totals and stage classifications in this section reflect publicly reported figures at the time of writing. Early-stage funding data changes quickly, so treat exact amounts as approximate until verified against a source like Crunchbase or a paid market-intelligence tool.</w:t>
      </w:r>
    </w:p>
    <w:p>
      <w:pPr>
        <w:pStyle w:val="Heading2"/>
        <w:pBdr>
          <w:bottom w:val="single" w:color="1F3864" w:sz="6" w:space="4"/>
        </w:pBdr>
        <w:spacing w:after="180" w:before="320"/>
      </w:pPr>
      <w:r>
        <w:rPr>
          <w:b/>
          <w:bCs/>
          <w:color w:val="1F3864"/>
          <w:sz w:val="30"/>
          <w:szCs w:val="30"/>
        </w:rPr>
        <w:t xml:space="preserve">How to Choose the Right AI Company in the UAE</w:t>
      </w:r>
    </w:p>
    <w:p>
      <w:pPr>
        <w:spacing w:after="160"/>
      </w:pPr>
      <w:r>
        <w:rPr>
          <w:color w:val="222222"/>
          <w:sz w:val="22"/>
          <w:szCs w:val="22"/>
        </w:rPr>
        <w:t xml:space="preserve">The best AI company for a global enterprise buying sovereign infrastructure is rarely the best one for a mid-size retailer that wants a single automation workflow built. Work through these factors before you shortlist a vendor.</w:t>
      </w:r>
    </w:p>
    <w:p>
      <w:pPr>
        <w:pStyle w:val="ListParagraph"/>
        <w:numPr>
          <w:ilvl w:val="0"/>
          <w:numId w:val="2"/>
        </w:numPr>
        <w:spacing w:after="90"/>
      </w:pPr>
      <w:r>
        <w:rPr>
          <w:b/>
          <w:bCs/>
          <w:color w:val="222222"/>
          <w:sz w:val="22"/>
          <w:szCs w:val="22"/>
        </w:rPr>
        <w:t xml:space="preserve">Budget considerations: </w:t>
      </w:r>
      <w:r>
        <w:rPr>
          <w:color w:val="222222"/>
          <w:sz w:val="22"/>
          <w:szCs w:val="22"/>
        </w:rPr>
        <w:t xml:space="preserve">Sovereign-scale providers like Core42 or G42 typically require enterprise or government-level budgets; startups and specialist consultancies are more realistic for single-project engagements.</w:t>
      </w:r>
    </w:p>
    <w:p>
      <w:pPr>
        <w:pStyle w:val="ListParagraph"/>
        <w:numPr>
          <w:ilvl w:val="0"/>
          <w:numId w:val="2"/>
        </w:numPr>
        <w:spacing w:after="90"/>
      </w:pPr>
      <w:r>
        <w:rPr>
          <w:b/>
          <w:bCs/>
          <w:color w:val="222222"/>
          <w:sz w:val="22"/>
          <w:szCs w:val="22"/>
        </w:rPr>
        <w:t xml:space="preserve">Technical expertise match: </w:t>
      </w:r>
      <w:r>
        <w:rPr>
          <w:color w:val="222222"/>
          <w:sz w:val="22"/>
          <w:szCs w:val="22"/>
        </w:rPr>
        <w:t xml:space="preserve">Check whether the team has shipped production systems in your specific domain (healthcare imaging, traffic prediction, Arabic NLP), not just general machine-learning experience.</w:t>
      </w:r>
    </w:p>
    <w:p>
      <w:pPr>
        <w:pStyle w:val="ListParagraph"/>
        <w:numPr>
          <w:ilvl w:val="0"/>
          <w:numId w:val="2"/>
        </w:numPr>
        <w:spacing w:after="90"/>
      </w:pPr>
      <w:r>
        <w:rPr>
          <w:b/>
          <w:bCs/>
          <w:color w:val="222222"/>
          <w:sz w:val="22"/>
          <w:szCs w:val="22"/>
        </w:rPr>
        <w:t xml:space="preserve">Project complexity: </w:t>
      </w:r>
      <w:r>
        <w:rPr>
          <w:color w:val="222222"/>
          <w:sz w:val="22"/>
          <w:szCs w:val="22"/>
        </w:rPr>
        <w:t xml:space="preserve">A narrow automation project needs a different partner than a multi-year AI infrastructure buildout; match the vendor's typical engagement size to your project's actual scope.</w:t>
      </w:r>
    </w:p>
    <w:p>
      <w:pPr>
        <w:pStyle w:val="ListParagraph"/>
        <w:numPr>
          <w:ilvl w:val="0"/>
          <w:numId w:val="2"/>
        </w:numPr>
        <w:spacing w:after="90"/>
      </w:pPr>
      <w:r>
        <w:rPr>
          <w:b/>
          <w:bCs/>
          <w:color w:val="222222"/>
          <w:sz w:val="22"/>
          <w:szCs w:val="22"/>
        </w:rPr>
        <w:t xml:space="preserve">Industry specialization: </w:t>
      </w:r>
      <w:r>
        <w:rPr>
          <w:color w:val="222222"/>
          <w:sz w:val="22"/>
          <w:szCs w:val="22"/>
        </w:rPr>
        <w:t xml:space="preserve">Vendors with deep vertical experience, such as M42 in healthcare or Derq in transportation, generally outperform generalist AI consultancies on domain-specific accuracy and compliance.</w:t>
      </w:r>
    </w:p>
    <w:p>
      <w:pPr>
        <w:pStyle w:val="ListParagraph"/>
        <w:numPr>
          <w:ilvl w:val="0"/>
          <w:numId w:val="2"/>
        </w:numPr>
        <w:spacing w:after="90"/>
      </w:pPr>
      <w:r>
        <w:rPr>
          <w:b/>
          <w:bCs/>
          <w:color w:val="222222"/>
          <w:sz w:val="22"/>
          <w:szCs w:val="22"/>
        </w:rPr>
        <w:t xml:space="preserve">Security and data-residency requirements: </w:t>
      </w:r>
      <w:r>
        <w:rPr>
          <w:color w:val="222222"/>
          <w:sz w:val="22"/>
          <w:szCs w:val="22"/>
        </w:rPr>
        <w:t xml:space="preserve">For regulated data (healthcare, banking, government), confirm UAE data-residency options; Presight's Connect platform and Core42's sovereign cloud are built specifically around this requirement.</w:t>
      </w:r>
    </w:p>
    <w:p>
      <w:pPr>
        <w:pStyle w:val="ListParagraph"/>
        <w:numPr>
          <w:ilvl w:val="0"/>
          <w:numId w:val="2"/>
        </w:numPr>
        <w:spacing w:after="90"/>
      </w:pPr>
      <w:r>
        <w:rPr>
          <w:b/>
          <w:bCs/>
          <w:color w:val="222222"/>
          <w:sz w:val="22"/>
          <w:szCs w:val="22"/>
        </w:rPr>
        <w:t xml:space="preserve">Long-term support: </w:t>
      </w:r>
      <w:r>
        <w:rPr>
          <w:color w:val="222222"/>
          <w:sz w:val="22"/>
          <w:szCs w:val="22"/>
        </w:rPr>
        <w:t xml:space="preserve">Ask what happens after deployment: model retraining cadence, support SLAs, and whether the vendor has a track record of multi-year client relationships rather than one-off projects.</w:t>
      </w:r>
    </w:p>
    <w:p>
      <w:pPr>
        <w:pStyle w:val="Heading2"/>
        <w:pBdr>
          <w:bottom w:val="single" w:color="1F3864" w:sz="6" w:space="4"/>
        </w:pBdr>
        <w:spacing w:after="180" w:before="320"/>
      </w:pPr>
      <w:r>
        <w:rPr>
          <w:b/>
          <w:bCs/>
          <w:color w:val="1F3864"/>
          <w:sz w:val="30"/>
          <w:szCs w:val="30"/>
        </w:rPr>
        <w:t xml:space="preserve">AI Trends Shaping the UAE Market in 2026 and Beyond</w:t>
      </w:r>
    </w:p>
    <w:p>
      <w:pPr>
        <w:pStyle w:val="ListParagraph"/>
        <w:numPr>
          <w:ilvl w:val="0"/>
          <w:numId w:val="2"/>
        </w:numPr>
        <w:spacing w:after="90"/>
      </w:pPr>
      <w:r>
        <w:rPr>
          <w:b/>
          <w:bCs/>
          <w:color w:val="222222"/>
          <w:sz w:val="22"/>
          <w:szCs w:val="22"/>
        </w:rPr>
        <w:t xml:space="preserve">Agentic AI moving from pilot to policy: </w:t>
      </w:r>
      <w:r>
        <w:rPr>
          <w:color w:val="222222"/>
          <w:sz w:val="22"/>
          <w:szCs w:val="22"/>
        </w:rPr>
        <w:t xml:space="preserve">The UAE Cabinet's 2026 approval of an agentic AI framework for government operations signals where enterprise adoption is headed next: AI systems that act on tasks, not just generate text.</w:t>
      </w:r>
    </w:p>
    <w:p>
      <w:pPr>
        <w:pStyle w:val="ListParagraph"/>
        <w:numPr>
          <w:ilvl w:val="0"/>
          <w:numId w:val="2"/>
        </w:numPr>
        <w:spacing w:after="90"/>
      </w:pPr>
      <w:r>
        <w:rPr>
          <w:b/>
          <w:bCs/>
          <w:color w:val="222222"/>
          <w:sz w:val="22"/>
          <w:szCs w:val="22"/>
        </w:rPr>
        <w:t xml:space="preserve">Generative AI with regional language depth: </w:t>
      </w:r>
      <w:r>
        <w:rPr>
          <w:color w:val="222222"/>
          <w:sz w:val="22"/>
          <w:szCs w:val="22"/>
        </w:rPr>
        <w:t xml:space="preserve">Generative AI investment continues to concentrate around Arabic and multilingual capability, led by TII's Falcon and G42/MBZUAI's Jais models.</w:t>
      </w:r>
    </w:p>
    <w:p>
      <w:pPr>
        <w:pStyle w:val="ListParagraph"/>
        <w:numPr>
          <w:ilvl w:val="0"/>
          <w:numId w:val="2"/>
        </w:numPr>
        <w:spacing w:after="90"/>
      </w:pPr>
      <w:r>
        <w:rPr>
          <w:b/>
          <w:bCs/>
          <w:color w:val="222222"/>
          <w:sz w:val="22"/>
          <w:szCs w:val="22"/>
        </w:rPr>
        <w:t xml:space="preserve">AI infrastructure and export-control shifts: </w:t>
      </w:r>
      <w:r>
        <w:rPr>
          <w:color w:val="222222"/>
          <w:sz w:val="22"/>
          <w:szCs w:val="22"/>
        </w:rPr>
        <w:t xml:space="preserve">Core42's substantial Nvidia H100 and H200 GPU deployment underpins much of the country's AI capacity, and the UAE's 2026 reclassification into US Export Administration Regulations Country Group A:5 is expected to ease further advanced-chip access for approved buyers.</w:t>
      </w:r>
    </w:p>
    <w:p>
      <w:pPr>
        <w:pStyle w:val="ListParagraph"/>
        <w:numPr>
          <w:ilvl w:val="0"/>
          <w:numId w:val="2"/>
        </w:numPr>
        <w:spacing w:after="90"/>
      </w:pPr>
      <w:r>
        <w:rPr>
          <w:b/>
          <w:bCs/>
          <w:color w:val="222222"/>
          <w:sz w:val="22"/>
          <w:szCs w:val="22"/>
        </w:rPr>
        <w:t xml:space="preserve">AI automation in customer-facing services: </w:t>
      </w:r>
      <w:r>
        <w:rPr>
          <w:color w:val="222222"/>
          <w:sz w:val="22"/>
          <w:szCs w:val="22"/>
        </w:rPr>
        <w:t xml:space="preserve">Automation is expanding from back-office workflows into customer-facing government and financial services, driven by rising public expectations after years of digital-government investment.</w:t>
      </w:r>
    </w:p>
    <w:p>
      <w:pPr>
        <w:pStyle w:val="ListParagraph"/>
        <w:numPr>
          <w:ilvl w:val="0"/>
          <w:numId w:val="2"/>
        </w:numPr>
        <w:spacing w:after="90"/>
      </w:pPr>
      <w:r>
        <w:rPr>
          <w:b/>
          <w:bCs/>
          <w:color w:val="222222"/>
          <w:sz w:val="22"/>
          <w:szCs w:val="22"/>
        </w:rPr>
        <w:t xml:space="preserve">AI infrastructure and data-centre buildout: </w:t>
      </w:r>
      <w:r>
        <w:rPr>
          <w:color w:val="222222"/>
          <w:sz w:val="22"/>
          <w:szCs w:val="22"/>
        </w:rPr>
        <w:t xml:space="preserve">With G42's OpenAI-linked compute partnership and continued sovereign data-centre expansion, expect more announcements around large-scale AI campuses through 2026 and 2027.</w:t>
      </w:r>
    </w:p>
    <w:p>
      <w:pPr>
        <w:pStyle w:val="ListParagraph"/>
        <w:numPr>
          <w:ilvl w:val="0"/>
          <w:numId w:val="2"/>
        </w:numPr>
        <w:spacing w:after="90"/>
      </w:pPr>
      <w:r>
        <w:rPr>
          <w:b/>
          <w:bCs/>
          <w:color w:val="222222"/>
          <w:sz w:val="22"/>
          <w:szCs w:val="22"/>
        </w:rPr>
        <w:t xml:space="preserve">Edge AI and applied robotics in narrow verticals: </w:t>
      </w:r>
      <w:r>
        <w:rPr>
          <w:color w:val="222222"/>
          <w:sz w:val="22"/>
          <w:szCs w:val="22"/>
        </w:rPr>
        <w:t xml:space="preserve">Transportation (Derq), industrial optimization (Nybl), and satellite intelligence (Space42) show that the UAE's AI edge is increasingly built around narrow, deployable use cases rather than generic AI platforms.</w:t>
      </w:r>
    </w:p>
    <w:p>
      <w:pPr>
        <w:pStyle w:val="Heading2"/>
        <w:pBdr>
          <w:bottom w:val="single" w:color="1F3864" w:sz="6" w:space="4"/>
        </w:pBdr>
        <w:spacing w:after="180" w:before="320"/>
      </w:pPr>
      <w:r>
        <w:rPr>
          <w:b/>
          <w:bCs/>
          <w:color w:val="1F3864"/>
          <w:sz w:val="30"/>
          <w:szCs w:val="30"/>
        </w:rPr>
        <w:t xml:space="preserve">The Hardware Layer Behind UAE's AI Companies</w:t>
      </w:r>
    </w:p>
    <w:p>
      <w:pPr>
        <w:spacing w:after="160"/>
      </w:pPr>
      <w:r>
        <w:rPr>
          <w:color w:val="222222"/>
          <w:sz w:val="22"/>
          <w:szCs w:val="22"/>
        </w:rPr>
        <w:t xml:space="preserve">Every company profiled above runs on physical infrastructure long before it ships a model or a product. Core42's sovereign cloud, Presight's Enterprise AI Suite, M42's clinical-imaging models, and TII's Falcon training runs all depend on enterprise-grade GPU capacity, and that capacity has to come from somewhere. Behind the AI companies making headlines sits a smaller, less visible layer of enterprise hardware distributors, such as Servchip (profiled above), that source, supply, and support the NVIDIA, AMD, and other accelerator hardware these AI companies build on.</w:t>
      </w:r>
    </w:p>
    <w:p>
      <w:pPr>
        <w:spacing w:after="160"/>
      </w:pPr>
      <w:r>
        <w:rPr>
          <w:color w:val="222222"/>
          <w:sz w:val="22"/>
          <w:szCs w:val="22"/>
        </w:rPr>
        <w:t xml:space="preserve">For a business evaluating an AI company from this list, or planning its own GPU procurement for training or inference workloads, the hardware layer matters as much as the software layer. Supply timelines, regional stock availability, and compliance with export-control frameworks such as the UAE's 2026 reclassification into US Export Administration Regulations Country Group A:5 all shape how quickly an AI deployment can actually go live.</w:t>
      </w:r>
    </w:p>
    <w:p>
      <w:pPr>
        <w:pStyle w:val="Heading2"/>
        <w:pBdr>
          <w:bottom w:val="single" w:color="1F3864" w:sz="6" w:space="4"/>
        </w:pBdr>
        <w:spacing w:after="180" w:before="320"/>
      </w:pPr>
      <w:r>
        <w:rPr>
          <w:b/>
          <w:bCs/>
          <w:color w:val="1F3864"/>
          <w:sz w:val="30"/>
          <w:szCs w:val="30"/>
        </w:rPr>
        <w:t xml:space="preserve">Frequently Asked Questions</w:t>
      </w:r>
    </w:p>
    <w:p>
      <w:pPr>
        <w:spacing w:after="60" w:before="200"/>
      </w:pPr>
      <w:r>
        <w:rPr>
          <w:b/>
          <w:bCs/>
          <w:color w:val="1F3864"/>
          <w:sz w:val="22"/>
          <w:szCs w:val="22"/>
        </w:rPr>
        <w:t xml:space="preserve">What is the best AI company in the UAE overall?</w:t>
      </w:r>
    </w:p>
    <w:p>
      <w:pPr>
        <w:spacing w:after="160"/>
      </w:pPr>
      <w:r>
        <w:rPr>
          <w:color w:val="222222"/>
          <w:sz w:val="22"/>
          <w:szCs w:val="22"/>
        </w:rPr>
        <w:t xml:space="preserve">G42 is generally considered the UAE's leading AI company, given its sovereign-scale infrastructure, subsidiary network spanning healthcare, geospatial, and enterprise AI, and its $1.5 billion strategic partnership with Microsoft.</w:t>
      </w:r>
    </w:p>
    <w:p>
      <w:pPr>
        <w:spacing w:after="60" w:before="200"/>
      </w:pPr>
      <w:r>
        <w:rPr>
          <w:b/>
          <w:bCs/>
          <w:color w:val="1F3864"/>
          <w:sz w:val="22"/>
          <w:szCs w:val="22"/>
        </w:rPr>
        <w:t xml:space="preserve">Which UAE company built the Falcon AI model?</w:t>
      </w:r>
    </w:p>
    <w:p>
      <w:pPr>
        <w:spacing w:after="160"/>
      </w:pPr>
      <w:r>
        <w:rPr>
          <w:color w:val="222222"/>
          <w:sz w:val="22"/>
          <w:szCs w:val="22"/>
        </w:rPr>
        <w:t xml:space="preserve">Falcon was developed by the Technology Innovation Institute (TII), a government-backed research institute in Abu Dhabi. Falcon became one of the most-downloaded open-weight large language models globally after its release.</w:t>
      </w:r>
    </w:p>
    <w:p>
      <w:pPr>
        <w:spacing w:after="60" w:before="200"/>
      </w:pPr>
      <w:r>
        <w:rPr>
          <w:b/>
          <w:bCs/>
          <w:color w:val="1F3864"/>
          <w:sz w:val="22"/>
          <w:szCs w:val="22"/>
        </w:rPr>
        <w:t xml:space="preserve">What is Core42 and how is it different from G42?</w:t>
      </w:r>
    </w:p>
    <w:p>
      <w:pPr>
        <w:spacing w:after="160"/>
      </w:pPr>
      <w:r>
        <w:rPr>
          <w:color w:val="222222"/>
          <w:sz w:val="22"/>
          <w:szCs w:val="22"/>
        </w:rPr>
        <w:t xml:space="preserve">Core42 is G42's sovereign cloud and enterprise AI infrastructure arm, formed by merging G42 Cloud, Inception's infrastructure layer, and Injazat. G42 is the parent group; Core42 specifically provides the GPU compute and cloud hosting layer.</w:t>
      </w:r>
    </w:p>
    <w:p>
      <w:pPr>
        <w:spacing w:after="60" w:before="200"/>
      </w:pPr>
      <w:r>
        <w:rPr>
          <w:b/>
          <w:bCs/>
          <w:color w:val="1F3864"/>
          <w:sz w:val="22"/>
          <w:szCs w:val="22"/>
        </w:rPr>
        <w:t xml:space="preserve">Are there any publicly listed AI companies in the UAE?</w:t>
      </w:r>
    </w:p>
    <w:p>
      <w:pPr>
        <w:spacing w:after="160"/>
      </w:pPr>
      <w:r>
        <w:rPr>
          <w:color w:val="222222"/>
          <w:sz w:val="22"/>
          <w:szCs w:val="22"/>
        </w:rPr>
        <w:t xml:space="preserve">Yes. Presight and Bayanat, both part of the G42 group, are listed on the Abu Dhabi Securities Exchange (ADX), giving buyers access to audited financial disclosures that most private AI vendors do not publish.</w:t>
      </w:r>
    </w:p>
    <w:p>
      <w:pPr>
        <w:spacing w:after="60" w:before="200"/>
      </w:pPr>
      <w:r>
        <w:rPr>
          <w:b/>
          <w:bCs/>
          <w:color w:val="1F3864"/>
          <w:sz w:val="22"/>
          <w:szCs w:val="22"/>
        </w:rPr>
        <w:t xml:space="preserve">Which UAE AI company is best for healthcare?</w:t>
      </w:r>
    </w:p>
    <w:p>
      <w:pPr>
        <w:spacing w:after="160"/>
      </w:pPr>
      <w:r>
        <w:rPr>
          <w:color w:val="222222"/>
          <w:sz w:val="22"/>
          <w:szCs w:val="22"/>
        </w:rPr>
        <w:t xml:space="preserve">M42, a joint venture between G42 and Mubadala, is the leading healthcare-focused AI company in the UAE, with a specific focus on medical imaging and clinical decision support.</w:t>
      </w:r>
    </w:p>
    <w:p>
      <w:pPr>
        <w:spacing w:after="60" w:before="200"/>
      </w:pPr>
      <w:r>
        <w:rPr>
          <w:b/>
          <w:bCs/>
          <w:color w:val="1F3864"/>
          <w:sz w:val="22"/>
          <w:szCs w:val="22"/>
        </w:rPr>
        <w:t xml:space="preserve">Which AI company handles Arabic-language AI best in the UAE?</w:t>
      </w:r>
    </w:p>
    <w:p>
      <w:pPr>
        <w:spacing w:after="160"/>
      </w:pPr>
      <w:r>
        <w:rPr>
          <w:color w:val="222222"/>
          <w:sz w:val="22"/>
          <w:szCs w:val="22"/>
        </w:rPr>
        <w:t xml:space="preserve">Inception, part of the G42 group, has the deepest Arabic NLP track record in the country and was a lead contributor to the Jais large language model, developed with MBZUAI and Cerebras.</w:t>
      </w:r>
    </w:p>
    <w:p>
      <w:pPr>
        <w:spacing w:after="60" w:before="200"/>
      </w:pPr>
      <w:r>
        <w:rPr>
          <w:b/>
          <w:bCs/>
          <w:color w:val="1F3864"/>
          <w:sz w:val="22"/>
          <w:szCs w:val="22"/>
        </w:rPr>
        <w:t xml:space="preserve">What is the UAE's National AI Strategy 2031?</w:t>
      </w:r>
    </w:p>
    <w:p>
      <w:pPr>
        <w:spacing w:after="160"/>
      </w:pPr>
      <w:r>
        <w:rPr>
          <w:color w:val="222222"/>
          <w:sz w:val="22"/>
          <w:szCs w:val="22"/>
        </w:rPr>
        <w:t xml:space="preserve">It is the UAE's national plan, launched in 2017, to become a global AI leader by 2031 through government AI adoption, talent development, sovereign data infrastructure, and AI governance frameworks.</w:t>
      </w:r>
    </w:p>
    <w:p>
      <w:pPr>
        <w:spacing w:after="60" w:before="200"/>
      </w:pPr>
      <w:r>
        <w:rPr>
          <w:b/>
          <w:bCs/>
          <w:color w:val="1F3864"/>
          <w:sz w:val="22"/>
          <w:szCs w:val="22"/>
        </w:rPr>
        <w:t xml:space="preserve">How fast is AI adoption growing in the UAE?</w:t>
      </w:r>
    </w:p>
    <w:p>
      <w:pPr>
        <w:spacing w:after="160"/>
      </w:pPr>
      <w:r>
        <w:rPr>
          <w:color w:val="222222"/>
          <w:sz w:val="22"/>
          <w:szCs w:val="22"/>
        </w:rPr>
        <w:t xml:space="preserve">Workplace AI adoption reached 70.1 percent in the UAE in Q1 2026 according to the Microsoft AI Economy Institute, roughly four times the 17.8 percent global average.</w:t>
      </w:r>
    </w:p>
    <w:p>
      <w:pPr>
        <w:spacing w:after="60" w:before="200"/>
      </w:pPr>
      <w:r>
        <w:rPr>
          <w:b/>
          <w:bCs/>
          <w:color w:val="1F3864"/>
          <w:sz w:val="22"/>
          <w:szCs w:val="22"/>
        </w:rPr>
        <w:t xml:space="preserve">Which UAE AI startups are best for road safety and transportation?</w:t>
      </w:r>
    </w:p>
    <w:p>
      <w:pPr>
        <w:spacing w:after="160"/>
      </w:pPr>
      <w:r>
        <w:rPr>
          <w:color w:val="222222"/>
          <w:sz w:val="22"/>
          <w:szCs w:val="22"/>
        </w:rPr>
        <w:t xml:space="preserve">Derq is the leading specialist, building AI-powered intelligent transportation systems that detect, track, and predict road-user behavior in real time for government transportation authorities.</w:t>
      </w:r>
    </w:p>
    <w:p>
      <w:pPr>
        <w:spacing w:after="60" w:before="200"/>
      </w:pPr>
      <w:r>
        <w:rPr>
          <w:b/>
          <w:bCs/>
          <w:color w:val="1F3864"/>
          <w:sz w:val="22"/>
          <w:szCs w:val="22"/>
        </w:rPr>
        <w:t xml:space="preserve">Is there a UAE AI company focused on industrial and manufacturing use cases?</w:t>
      </w:r>
    </w:p>
    <w:p>
      <w:pPr>
        <w:spacing w:after="160"/>
      </w:pPr>
      <w:r>
        <w:rPr>
          <w:color w:val="222222"/>
          <w:sz w:val="22"/>
          <w:szCs w:val="22"/>
        </w:rPr>
        <w:t xml:space="preserve">Nybl is the most visible industrial AI company in the UAE, with partnerships including Lenovo for public-sector AI deployment and Ambyint for oil and gas equipment optimization.</w:t>
      </w:r>
    </w:p>
    <w:p>
      <w:pPr>
        <w:spacing w:after="60" w:before="200"/>
      </w:pPr>
      <w:r>
        <w:rPr>
          <w:b/>
          <w:bCs/>
          <w:color w:val="1F3864"/>
          <w:sz w:val="22"/>
          <w:szCs w:val="22"/>
        </w:rPr>
        <w:t xml:space="preserve">What AI company should a bank in the UAE consider?</w:t>
      </w:r>
    </w:p>
    <w:p>
      <w:pPr>
        <w:spacing w:after="160"/>
      </w:pPr>
      <w:r>
        <w:rPr>
          <w:color w:val="222222"/>
          <w:sz w:val="22"/>
          <w:szCs w:val="22"/>
        </w:rPr>
        <w:t xml:space="preserve">Banks typically evaluate Core42 or G42 for sovereign, data-resident AI infrastructure, and increasingly look at Astra Tech's Quantix arm for consumer lending AI models built for the regional market.</w:t>
      </w:r>
    </w:p>
    <w:p>
      <w:pPr>
        <w:spacing w:after="60" w:before="200"/>
      </w:pPr>
      <w:r>
        <w:rPr>
          <w:b/>
          <w:bCs/>
          <w:color w:val="1F3864"/>
          <w:sz w:val="22"/>
          <w:szCs w:val="22"/>
        </w:rPr>
        <w:t xml:space="preserve">Do any UAE universities play a role in the AI industry?</w:t>
      </w:r>
    </w:p>
    <w:p>
      <w:pPr>
        <w:spacing w:after="160"/>
      </w:pPr>
      <w:r>
        <w:rPr>
          <w:color w:val="222222"/>
          <w:sz w:val="22"/>
          <w:szCs w:val="22"/>
        </w:rPr>
        <w:t xml:space="preserve">Yes. MBZUAI, the Mohamed bin Zayed University of Artificial Intelligence, is a dedicated AI graduate research university whose alumni and research feed directly into G42, Inception, and M42.</w:t>
      </w:r>
    </w:p>
    <w:p>
      <w:pPr>
        <w:spacing w:after="60" w:before="200"/>
      </w:pPr>
      <w:r>
        <w:rPr>
          <w:b/>
          <w:bCs/>
          <w:color w:val="1F3864"/>
          <w:sz w:val="22"/>
          <w:szCs w:val="22"/>
        </w:rPr>
        <w:t xml:space="preserve">What is agentic AI, and is the UAE government using it?</w:t>
      </w:r>
    </w:p>
    <w:p>
      <w:pPr>
        <w:spacing w:after="160"/>
      </w:pPr>
      <w:r>
        <w:rPr>
          <w:color w:val="222222"/>
          <w:sz w:val="22"/>
          <w:szCs w:val="22"/>
        </w:rPr>
        <w:t xml:space="preserve">Agentic AI refers to AI systems that can take multi-step actions toward a goal, not just generate text or predictions. In 2026 the UAE Cabinet approved a framework to deploy agentic AI in phases across federal government operations.</w:t>
      </w:r>
    </w:p>
    <w:p>
      <w:pPr>
        <w:spacing w:after="60" w:before="200"/>
      </w:pPr>
      <w:r>
        <w:rPr>
          <w:b/>
          <w:bCs/>
          <w:color w:val="1F3864"/>
          <w:sz w:val="22"/>
          <w:szCs w:val="22"/>
        </w:rPr>
        <w:t xml:space="preserve">How is Saudi Arabia's AI market different from the UAE's?</w:t>
      </w:r>
    </w:p>
    <w:p>
      <w:pPr>
        <w:spacing w:after="160"/>
      </w:pPr>
      <w:r>
        <w:rPr>
          <w:color w:val="222222"/>
          <w:sz w:val="22"/>
          <w:szCs w:val="22"/>
        </w:rPr>
        <w:t xml:space="preserve">Saudi Arabia's AI chip and compute access runs largely through deal-based national programs such as HUMAIN, rather than a country-tier reclassification like the UAE's July 2026 move into US Export Administration Regulations Country Group A:5. The two markets are structured differently and should not be evaluated with the same assumptions.</w:t>
      </w:r>
    </w:p>
    <w:p>
      <w:pPr>
        <w:spacing w:after="60" w:before="200"/>
      </w:pPr>
      <w:r>
        <w:rPr>
          <w:b/>
          <w:bCs/>
          <w:color w:val="1F3864"/>
          <w:sz w:val="22"/>
          <w:szCs w:val="22"/>
        </w:rPr>
        <w:t xml:space="preserve">What industries have the most mature AI adoption in the UAE?</w:t>
      </w:r>
    </w:p>
    <w:p>
      <w:pPr>
        <w:spacing w:after="160"/>
      </w:pPr>
      <w:r>
        <w:rPr>
          <w:color w:val="222222"/>
          <w:sz w:val="22"/>
          <w:szCs w:val="22"/>
        </w:rPr>
        <w:t xml:space="preserve">Government, healthcare, and financial services currently show the most mature AI adoption, largely because sovereign-backed players like Presight, M42, and Core42 have built sector-specific platforms for those buyers.</w:t>
      </w:r>
    </w:p>
    <w:p>
      <w:pPr>
        <w:spacing w:after="60" w:before="200"/>
      </w:pPr>
      <w:r>
        <w:rPr>
          <w:b/>
          <w:bCs/>
          <w:color w:val="1F3864"/>
          <w:sz w:val="22"/>
          <w:szCs w:val="22"/>
        </w:rPr>
        <w:t xml:space="preserve">Are UAE AI companies mostly government-backed or independent startups?</w:t>
      </w:r>
    </w:p>
    <w:p>
      <w:pPr>
        <w:spacing w:after="160"/>
      </w:pPr>
      <w:r>
        <w:rPr>
          <w:color w:val="222222"/>
          <w:sz w:val="22"/>
          <w:szCs w:val="22"/>
        </w:rPr>
        <w:t xml:space="preserve">Both, but the largest and most capitalized players (G42 and its subsidiaries, TII, MBZUAI) trace back to government or sovereign-wealth backing. Independent, venture-funded startups like Derq, Nybl, and Qureos operate alongside them in narrower verticals.</w:t>
      </w:r>
    </w:p>
    <w:p>
      <w:pPr>
        <w:spacing w:after="60" w:before="200"/>
      </w:pPr>
      <w:r>
        <w:rPr>
          <w:b/>
          <w:bCs/>
          <w:color w:val="1F3864"/>
          <w:sz w:val="22"/>
          <w:szCs w:val="22"/>
        </w:rPr>
        <w:t xml:space="preserve">How much has the UAE invested in AI infrastructure?</w:t>
      </w:r>
    </w:p>
    <w:p>
      <w:pPr>
        <w:spacing w:after="160"/>
      </w:pPr>
      <w:r>
        <w:rPr>
          <w:color w:val="222222"/>
          <w:sz w:val="22"/>
          <w:szCs w:val="22"/>
        </w:rPr>
        <w:t xml:space="preserve">Public estimates put UAE AI-related investment commitments above $100 billion, spanning sovereign compute infrastructure, research institutions, and strategic partnerships such as G42's deal with Microsoft. Treat this as a directional figure, since it aggregates multiple funding sources and timeframes.</w:t>
      </w:r>
    </w:p>
    <w:p>
      <w:pPr>
        <w:spacing w:after="60" w:before="200"/>
      </w:pPr>
      <w:r>
        <w:rPr>
          <w:b/>
          <w:bCs/>
          <w:color w:val="1F3864"/>
          <w:sz w:val="22"/>
          <w:szCs w:val="22"/>
        </w:rPr>
        <w:t xml:space="preserve">What should a business look for before hiring a UAE AI company?</w:t>
      </w:r>
    </w:p>
    <w:p>
      <w:pPr>
        <w:spacing w:after="160"/>
      </w:pPr>
      <w:r>
        <w:rPr>
          <w:color w:val="222222"/>
          <w:sz w:val="22"/>
          <w:szCs w:val="22"/>
        </w:rPr>
        <w:t xml:space="preserve">Verify production deployments in your specific industry, confirm UAE data-residency options if you handle regulated data, and check whether the vendor offers ongoing support and model retraining rather than a one-time build.</w:t>
      </w:r>
    </w:p>
    <w:p>
      <w:pPr>
        <w:spacing w:after="60" w:before="200"/>
      </w:pPr>
      <w:r>
        <w:rPr>
          <w:b/>
          <w:bCs/>
          <w:color w:val="1F3864"/>
          <w:sz w:val="22"/>
          <w:szCs w:val="22"/>
        </w:rPr>
        <w:t xml:space="preserve">Who supplies the GPU hardware behind UAE AI companies?</w:t>
      </w:r>
    </w:p>
    <w:p>
      <w:pPr>
        <w:spacing w:after="160"/>
      </w:pPr>
      <w:r>
        <w:rPr>
          <w:color w:val="222222"/>
          <w:sz w:val="22"/>
          <w:szCs w:val="22"/>
        </w:rPr>
        <w:t xml:space="preserve">UAE AI companies rely on enterprise GPU and AI accelerator hardware sourced through distributors rather than building their own chips. Servchip, an ISO 9001 certified distributor with offices in India and the UAE, is one example, supplying NVIDIA, AMD, Intel, and Google TPU hardware to enterprise buyers across the Middle East and South Asia.</w:t>
      </w:r>
    </w:p>
    <w:p>
      <w:pPr>
        <w:pStyle w:val="Heading2"/>
        <w:pBdr>
          <w:bottom w:val="single" w:color="1F3864" w:sz="6" w:space="4"/>
        </w:pBdr>
        <w:spacing w:after="180" w:before="320"/>
      </w:pPr>
      <w:r>
        <w:rPr>
          <w:b/>
          <w:bCs/>
          <w:color w:val="1F3864"/>
          <w:sz w:val="30"/>
          <w:szCs w:val="30"/>
        </w:rPr>
        <w:t xml:space="preserve">Final Verdict</w:t>
      </w:r>
    </w:p>
    <w:p>
      <w:pPr>
        <w:pStyle w:val="ListParagraph"/>
        <w:numPr>
          <w:ilvl w:val="0"/>
          <w:numId w:val="2"/>
        </w:numPr>
        <w:spacing w:after="90"/>
      </w:pPr>
      <w:r>
        <w:rPr>
          <w:b/>
          <w:bCs/>
          <w:color w:val="222222"/>
          <w:sz w:val="22"/>
          <w:szCs w:val="22"/>
        </w:rPr>
        <w:t xml:space="preserve">Top overall choice: </w:t>
      </w:r>
      <w:r>
        <w:rPr>
          <w:color w:val="222222"/>
          <w:sz w:val="22"/>
          <w:szCs w:val="22"/>
        </w:rPr>
        <w:t xml:space="preserve">G42, for its sovereign-scale infrastructure, subsidiary depth, and Microsoft-backed capital position.</w:t>
      </w:r>
    </w:p>
    <w:p>
      <w:pPr>
        <w:pStyle w:val="ListParagraph"/>
        <w:numPr>
          <w:ilvl w:val="0"/>
          <w:numId w:val="2"/>
        </w:numPr>
        <w:spacing w:after="90"/>
      </w:pPr>
      <w:r>
        <w:rPr>
          <w:b/>
          <w:bCs/>
          <w:color w:val="222222"/>
          <w:sz w:val="22"/>
          <w:szCs w:val="22"/>
        </w:rPr>
        <w:t xml:space="preserve">Best startup: </w:t>
      </w:r>
      <w:r>
        <w:rPr>
          <w:color w:val="222222"/>
          <w:sz w:val="22"/>
          <w:szCs w:val="22"/>
        </w:rPr>
        <w:t xml:space="preserve">Derq, for turning a narrow, high-value vertical (road-safety AI) into deployed government infrastructure on real funding.</w:t>
      </w:r>
    </w:p>
    <w:p>
      <w:pPr>
        <w:pStyle w:val="ListParagraph"/>
        <w:numPr>
          <w:ilvl w:val="0"/>
          <w:numId w:val="2"/>
        </w:numPr>
        <w:spacing w:after="90"/>
      </w:pPr>
      <w:r>
        <w:rPr>
          <w:b/>
          <w:bCs/>
          <w:color w:val="222222"/>
          <w:sz w:val="22"/>
          <w:szCs w:val="22"/>
        </w:rPr>
        <w:t xml:space="preserve">Best enterprise provider: </w:t>
      </w:r>
      <w:r>
        <w:rPr>
          <w:color w:val="222222"/>
          <w:sz w:val="22"/>
          <w:szCs w:val="22"/>
        </w:rPr>
        <w:t xml:space="preserve">Core42, for regulated, data-resident, compute-heavy AI workloads at government or bank scale.</w:t>
      </w:r>
    </w:p>
    <w:p>
      <w:pPr>
        <w:pStyle w:val="ListParagraph"/>
        <w:numPr>
          <w:ilvl w:val="0"/>
          <w:numId w:val="2"/>
        </w:numPr>
        <w:spacing w:after="90"/>
      </w:pPr>
      <w:r>
        <w:rPr>
          <w:b/>
          <w:bCs/>
          <w:color w:val="222222"/>
          <w:sz w:val="22"/>
          <w:szCs w:val="22"/>
        </w:rPr>
        <w:t xml:space="preserve">Best for SMBs: </w:t>
      </w:r>
      <w:r>
        <w:rPr>
          <w:color w:val="222222"/>
          <w:sz w:val="22"/>
          <w:szCs w:val="22"/>
        </w:rPr>
        <w:t xml:space="preserve">Nybl, for its no-code industrial AI tooling and global distribution partnerships that make deployment more accessible without enterprise-scale budgets.</w:t>
      </w:r>
    </w:p>
    <w:p>
      <w:pPr>
        <w:pStyle w:val="ListParagraph"/>
        <w:numPr>
          <w:ilvl w:val="0"/>
          <w:numId w:val="2"/>
        </w:numPr>
        <w:spacing w:after="90"/>
      </w:pPr>
      <w:r>
        <w:rPr>
          <w:b/>
          <w:bCs/>
          <w:color w:val="222222"/>
          <w:sz w:val="22"/>
          <w:szCs w:val="22"/>
        </w:rPr>
        <w:t xml:space="preserve">Best for innovation: </w:t>
      </w:r>
      <w:r>
        <w:rPr>
          <w:color w:val="222222"/>
          <w:sz w:val="22"/>
          <w:szCs w:val="22"/>
        </w:rPr>
        <w:t xml:space="preserve">TII and MBZUAI, for pushing open-weight, Arabic-capable foundation models that the rest of the region's AI companies build on.</w:t>
      </w:r>
    </w:p>
    <w:p>
      <w:pPr>
        <w:spacing w:after="160"/>
      </w:pPr>
      <w:r>
        <w:rPr>
          <w:color w:val="222222"/>
          <w:sz w:val="22"/>
          <w:szCs w:val="22"/>
        </w:rPr>
        <w:t xml:space="preserve">The UAE's AI market rewards buyers who match vendor scale to project scale. Sovereign infrastructure players are the right call for national-scale or regulated deployments; specialist startups are often the faster, more cost-effective route for a single well-defined use case. Before signing with any AI partner in the UAE, ask for a reference deployment in your specific sector and confirm data-residency terms in writing.</w:t>
      </w:r>
    </w:p>
    <w:p>
      <w:pPr>
        <w:pStyle w:val="Heading2"/>
        <w:pBdr>
          <w:bottom w:val="single" w:color="1F3864" w:sz="6" w:space="4"/>
        </w:pBdr>
        <w:spacing w:after="180" w:before="320"/>
      </w:pPr>
      <w:r>
        <w:rPr>
          <w:b/>
          <w:bCs/>
          <w:color w:val="1F3864"/>
          <w:sz w:val="30"/>
          <w:szCs w:val="30"/>
        </w:rPr>
        <w:t xml:space="preserve">Sources &amp; Further Reading</w:t>
      </w:r>
    </w:p>
    <w:p>
      <w:pPr>
        <w:pStyle w:val="ListParagraph"/>
        <w:numPr>
          <w:ilvl w:val="0"/>
          <w:numId w:val="2"/>
        </w:numPr>
        <w:spacing w:after="90"/>
      </w:pPr>
      <w:r>
        <w:rPr>
          <w:color w:val="222222"/>
          <w:sz w:val="22"/>
          <w:szCs w:val="22"/>
        </w:rPr>
        <w:t xml:space="preserve">Microsoft AI Economy Institute, AI Diffusion Report, Q1 2026 - UAE workplace AI adoption data.</w:t>
      </w:r>
    </w:p>
    <w:p>
      <w:pPr>
        <w:pStyle w:val="ListParagraph"/>
        <w:numPr>
          <w:ilvl w:val="0"/>
          <w:numId w:val="2"/>
        </w:numPr>
        <w:spacing w:after="90"/>
      </w:pPr>
      <w:r>
        <w:rPr>
          <w:color w:val="222222"/>
          <w:sz w:val="22"/>
          <w:szCs w:val="22"/>
        </w:rPr>
        <w:t xml:space="preserve">OECD.AI Policy Observatory - UAE National Strategy for Artificial Intelligence 2031 overview.</w:t>
      </w:r>
    </w:p>
    <w:p>
      <w:pPr>
        <w:pStyle w:val="ListParagraph"/>
        <w:numPr>
          <w:ilvl w:val="0"/>
          <w:numId w:val="2"/>
        </w:numPr>
        <w:spacing w:after="90"/>
      </w:pPr>
      <w:r>
        <w:rPr>
          <w:color w:val="222222"/>
          <w:sz w:val="22"/>
          <w:szCs w:val="22"/>
        </w:rPr>
        <w:t xml:space="preserve">G42 corporate site (g42.ai) - subsidiary structure and group companies.</w:t>
      </w:r>
    </w:p>
    <w:p>
      <w:pPr>
        <w:pStyle w:val="ListParagraph"/>
        <w:numPr>
          <w:ilvl w:val="0"/>
          <w:numId w:val="2"/>
        </w:numPr>
        <w:spacing w:after="90"/>
      </w:pPr>
      <w:r>
        <w:rPr>
          <w:color w:val="222222"/>
          <w:sz w:val="22"/>
          <w:szCs w:val="22"/>
        </w:rPr>
        <w:t xml:space="preserve">Abu Dhabi Securities Exchange (ADX) disclosures - Presight and Bayanat public filings.</w:t>
      </w:r>
    </w:p>
    <w:p>
      <w:pPr>
        <w:spacing w:after="160"/>
      </w:pPr>
      <w:r>
        <w:rPr>
          <w:color w:val="222222"/>
          <w:sz w:val="22"/>
          <w:szCs w:val="22"/>
        </w:rPr>
        <w:t xml:space="preserve">Data points not sourced from a paid market-intelligence platform (Ahrefs, SEMrush, or equivalent) are labeled directional in this article and should be re-validated before being used in outbound sales or investment materials.</w:t>
      </w:r>
    </w:p>
    <w:p>
      <w:pPr>
        <w:pageBreakBefore/>
      </w:pPr>
      <w:r>
        <w:br/>
        <w:t xml:space="preserve"/>
      </w:r>
    </w:p>
    <w:p>
      <w:pPr>
        <w:pStyle w:val="Heading1"/>
        <w:spacing w:after="240" w:before="120"/>
      </w:pPr>
      <w:r>
        <w:rPr>
          <w:b/>
          <w:bCs/>
          <w:color w:val="1F3864"/>
          <w:sz w:val="40"/>
          <w:szCs w:val="40"/>
        </w:rPr>
        <w:t xml:space="preserve">SEO &amp; Technical Appendix</w:t>
      </w:r>
    </w:p>
    <w:p>
      <w:pPr>
        <w:spacing w:after="160"/>
      </w:pPr>
      <w:r>
        <w:rPr>
          <w:color w:val="222222"/>
          <w:sz w:val="22"/>
          <w:szCs w:val="22"/>
        </w:rPr>
        <w:t xml:space="preserve">This appendix is for internal / CMS use and is not intended to publish as part of the article body.</w:t>
      </w:r>
    </w:p>
    <w:p>
      <w:pPr>
        <w:pStyle w:val="Heading2"/>
        <w:pBdr>
          <w:bottom w:val="single" w:color="1F3864" w:sz="6" w:space="4"/>
        </w:pBdr>
        <w:spacing w:after="180" w:before="320"/>
      </w:pPr>
      <w:r>
        <w:rPr>
          <w:b/>
          <w:bCs/>
          <w:color w:val="1F3864"/>
          <w:sz w:val="30"/>
          <w:szCs w:val="30"/>
        </w:rPr>
        <w:t xml:space="preserve">Technical SEO Elements</w:t>
      </w:r>
    </w:p>
    <w:p>
      <w:pPr>
        <w:spacing w:after="160"/>
      </w:pPr>
      <w:r>
        <w:rPr>
          <w:b/>
          <w:bCs/>
          <w:color w:val="222222"/>
          <w:sz w:val="22"/>
          <w:szCs w:val="22"/>
        </w:rPr>
        <w:t xml:space="preserve">URL: </w:t>
      </w:r>
      <w:r>
        <w:rPr>
          <w:color w:val="222222"/>
          <w:sz w:val="22"/>
          <w:szCs w:val="22"/>
        </w:rPr>
        <w:t xml:space="preserve">/blog/best-ai-companies-in-uae</w:t>
      </w:r>
    </w:p>
    <w:p>
      <w:pPr>
        <w:spacing w:after="160"/>
      </w:pPr>
      <w:r>
        <w:rPr>
          <w:b/>
          <w:bCs/>
          <w:color w:val="222222"/>
          <w:sz w:val="22"/>
          <w:szCs w:val="22"/>
        </w:rPr>
        <w:t xml:space="preserve">Meta Title (57 chars): </w:t>
      </w:r>
      <w:r>
        <w:rPr>
          <w:color w:val="222222"/>
          <w:sz w:val="22"/>
          <w:szCs w:val="22"/>
        </w:rPr>
        <w:t xml:space="preserve">Best AI Companies in the UAE: 2026 Buyer's Guide</w:t>
      </w:r>
    </w:p>
    <w:p>
      <w:pPr>
        <w:spacing w:after="160"/>
      </w:pPr>
      <w:r>
        <w:rPr>
          <w:b/>
          <w:bCs/>
          <w:color w:val="222222"/>
          <w:sz w:val="22"/>
          <w:szCs w:val="22"/>
        </w:rPr>
        <w:t xml:space="preserve">Meta Description (152 chars): </w:t>
      </w:r>
      <w:r>
        <w:rPr>
          <w:color w:val="222222"/>
          <w:sz w:val="22"/>
          <w:szCs w:val="22"/>
        </w:rPr>
        <w:t xml:space="preserve">Compare the UAE's top AI companies for 2026, from sovereign leaders like G42 to specialist startups, with a practical buyer's guide.</w:t>
      </w:r>
    </w:p>
    <w:p>
      <w:pPr>
        <w:spacing w:after="160"/>
      </w:pPr>
      <w:r>
        <w:rPr>
          <w:b/>
          <w:bCs/>
          <w:color w:val="222222"/>
          <w:sz w:val="22"/>
          <w:szCs w:val="22"/>
        </w:rPr>
        <w:t xml:space="preserve">Meta Robots: </w:t>
      </w:r>
      <w:r>
        <w:rPr>
          <w:color w:val="222222"/>
          <w:sz w:val="22"/>
          <w:szCs w:val="22"/>
        </w:rPr>
        <w:t xml:space="preserve">index, follow, max-snippet:-1, max-image-preview:large</w:t>
      </w:r>
    </w:p>
    <w:p>
      <w:pPr>
        <w:spacing w:after="160"/>
      </w:pPr>
      <w:r>
        <w:rPr>
          <w:b/>
          <w:bCs/>
          <w:color w:val="222222"/>
          <w:sz w:val="22"/>
          <w:szCs w:val="22"/>
        </w:rPr>
        <w:t xml:space="preserve">Canonical URL: </w:t>
      </w:r>
      <w:r>
        <w:rPr>
          <w:color w:val="222222"/>
          <w:sz w:val="22"/>
          <w:szCs w:val="22"/>
        </w:rPr>
        <w:t xml:space="preserve">https://www.[yourdomain].com/blog/best-ai-companies-in-uae</w:t>
      </w:r>
    </w:p>
    <w:p>
      <w:pPr>
        <w:spacing w:after="160"/>
      </w:pPr>
      <w:r>
        <w:rPr>
          <w:b/>
          <w:bCs/>
          <w:color w:val="222222"/>
          <w:sz w:val="22"/>
          <w:szCs w:val="22"/>
        </w:rPr>
        <w:t xml:space="preserve">Open Graph Title: </w:t>
      </w:r>
      <w:r>
        <w:rPr>
          <w:color w:val="222222"/>
          <w:sz w:val="22"/>
          <w:szCs w:val="22"/>
        </w:rPr>
        <w:t xml:space="preserve">Best AI Companies in the UAE (2026 Guide)</w:t>
      </w:r>
    </w:p>
    <w:p>
      <w:pPr>
        <w:spacing w:after="160"/>
      </w:pPr>
      <w:r>
        <w:rPr>
          <w:b/>
          <w:bCs/>
          <w:color w:val="222222"/>
          <w:sz w:val="22"/>
          <w:szCs w:val="22"/>
        </w:rPr>
        <w:t xml:space="preserve">Open Graph Description: </w:t>
      </w:r>
      <w:r>
        <w:rPr>
          <w:color w:val="222222"/>
          <w:sz w:val="22"/>
          <w:szCs w:val="22"/>
        </w:rPr>
        <w:t xml:space="preserve">A researched, sourced ranking of the UAE's leading AI companies, from G42 and Core42 to fast-growing startups like Derq and Nybl.</w:t>
      </w:r>
    </w:p>
    <w:p>
      <w:pPr>
        <w:spacing w:after="160"/>
      </w:pPr>
      <w:r>
        <w:rPr>
          <w:b/>
          <w:bCs/>
          <w:color w:val="222222"/>
          <w:sz w:val="22"/>
          <w:szCs w:val="22"/>
        </w:rPr>
        <w:t xml:space="preserve">Open Graph Type / Image: </w:t>
      </w:r>
      <w:r>
        <w:rPr>
          <w:color w:val="222222"/>
          <w:sz w:val="22"/>
          <w:szCs w:val="22"/>
        </w:rPr>
        <w:t xml:space="preserve">article / 1200x630 featured image (see Image Optimization below)</w:t>
      </w:r>
    </w:p>
    <w:p>
      <w:pPr>
        <w:spacing w:after="160"/>
      </w:pPr>
      <w:r>
        <w:rPr>
          <w:b/>
          <w:bCs/>
          <w:color w:val="222222"/>
          <w:sz w:val="22"/>
          <w:szCs w:val="22"/>
        </w:rPr>
        <w:t xml:space="preserve">Twitter Card: </w:t>
      </w:r>
      <w:r>
        <w:rPr>
          <w:color w:val="222222"/>
          <w:sz w:val="22"/>
          <w:szCs w:val="22"/>
        </w:rPr>
        <w:t xml:space="preserve">summary_large_image</w:t>
      </w:r>
    </w:p>
    <w:p>
      <w:pPr>
        <w:spacing w:after="160"/>
      </w:pPr>
      <w:r>
        <w:rPr>
          <w:b/>
          <w:bCs/>
          <w:color w:val="222222"/>
          <w:sz w:val="22"/>
          <w:szCs w:val="22"/>
        </w:rPr>
        <w:t xml:space="preserve">Breadcrumb: </w:t>
      </w:r>
      <w:r>
        <w:rPr>
          <w:color w:val="222222"/>
          <w:sz w:val="22"/>
          <w:szCs w:val="22"/>
        </w:rPr>
        <w:t xml:space="preserve">Home &gt; Blog &gt; AI Chip Market &amp; Industry Trends &gt; Best AI Companies in the UAE</w:t>
      </w:r>
    </w:p>
    <w:p>
      <w:pPr>
        <w:pStyle w:val="Heading2"/>
        <w:pBdr>
          <w:bottom w:val="single" w:color="1F3864" w:sz="6" w:space="4"/>
        </w:pBdr>
        <w:spacing w:after="180" w:before="320"/>
      </w:pPr>
      <w:r>
        <w:rPr>
          <w:b/>
          <w:bCs/>
          <w:color w:val="1F3864"/>
          <w:sz w:val="30"/>
          <w:szCs w:val="30"/>
        </w:rPr>
        <w:t xml:space="preserve">Image Optimization</w:t>
      </w:r>
    </w:p>
    <w:p>
      <w:pPr>
        <w:spacing w:after="160"/>
      </w:pPr>
      <w:r>
        <w:rPr>
          <w:b/>
          <w:bCs/>
          <w:color w:val="222222"/>
          <w:sz w:val="22"/>
          <w:szCs w:val="22"/>
        </w:rPr>
        <w:t xml:space="preserve">Featured image - </w:t>
      </w:r>
      <w:r>
        <w:rPr>
          <w:color w:val="222222"/>
          <w:sz w:val="22"/>
          <w:szCs w:val="22"/>
        </w:rPr>
        <w:t xml:space="preserve">uae-ai-companies-2026-hero.jpg | Alt: Skyline graphic representing the UAE AI industry, 2026 guide</w:t>
      </w:r>
    </w:p>
    <w:p>
      <w:pPr>
        <w:spacing w:after="160"/>
      </w:pPr>
      <w:r>
        <w:rPr>
          <w:b/>
          <w:bCs/>
          <w:color w:val="222222"/>
          <w:sz w:val="22"/>
          <w:szCs w:val="22"/>
        </w:rPr>
        <w:t xml:space="preserve">Supporting image 1 - </w:t>
      </w:r>
      <w:r>
        <w:rPr>
          <w:color w:val="222222"/>
          <w:sz w:val="22"/>
          <w:szCs w:val="22"/>
        </w:rPr>
        <w:t xml:space="preserve">g42-core42-subsidiary-structure-diagram.jpg | Alt: Diagram of G42 group subsidiary structure including Core42, Presight, and M42</w:t>
      </w:r>
    </w:p>
    <w:p>
      <w:pPr>
        <w:spacing w:after="160"/>
      </w:pPr>
      <w:r>
        <w:rPr>
          <w:b/>
          <w:bCs/>
          <w:color w:val="222222"/>
          <w:sz w:val="22"/>
          <w:szCs w:val="22"/>
        </w:rPr>
        <w:t xml:space="preserve">Supporting image 2 - </w:t>
      </w:r>
      <w:r>
        <w:rPr>
          <w:color w:val="222222"/>
          <w:sz w:val="22"/>
          <w:szCs w:val="22"/>
        </w:rPr>
        <w:t xml:space="preserve">uae-ai-adoption-rate-chart-2026.jpg | Alt: Chart showing UAE workplace AI adoption rate versus global average</w:t>
      </w:r>
    </w:p>
    <w:p>
      <w:pPr>
        <w:spacing w:after="160"/>
      </w:pPr>
      <w:r>
        <w:rPr>
          <w:b/>
          <w:bCs/>
          <w:color w:val="222222"/>
          <w:sz w:val="22"/>
          <w:szCs w:val="22"/>
        </w:rPr>
        <w:t xml:space="preserve">Supporting image 3 - </w:t>
      </w:r>
      <w:r>
        <w:rPr>
          <w:color w:val="222222"/>
          <w:sz w:val="22"/>
          <w:szCs w:val="22"/>
        </w:rPr>
        <w:t xml:space="preserve">derq-traffic-ai-uae-smart-city.jpg | Alt: AI-powered traffic monitoring system used in UAE smart-city transportation</w:t>
      </w:r>
    </w:p>
    <w:p>
      <w:pPr>
        <w:spacing w:after="160"/>
      </w:pPr>
      <w:r>
        <w:rPr>
          <w:b/>
          <w:bCs/>
          <w:color w:val="222222"/>
          <w:sz w:val="22"/>
          <w:szCs w:val="22"/>
        </w:rPr>
        <w:t xml:space="preserve">Supporting image 4 - </w:t>
      </w:r>
      <w:r>
        <w:rPr>
          <w:color w:val="222222"/>
          <w:sz w:val="22"/>
          <w:szCs w:val="22"/>
        </w:rPr>
        <w:t xml:space="preserve">uae-ai-companies-comparison-table.jpg | Alt: Comparison table of leading AI companies in the UAE by industry and specialty</w:t>
      </w:r>
    </w:p>
    <w:p>
      <w:pPr>
        <w:spacing w:after="160"/>
      </w:pPr>
      <w:r>
        <w:rPr>
          <w:b/>
          <w:bCs/>
          <w:color w:val="222222"/>
          <w:sz w:val="22"/>
          <w:szCs w:val="22"/>
        </w:rPr>
        <w:t xml:space="preserve">Supporting image 5 - </w:t>
      </w:r>
      <w:r>
        <w:rPr>
          <w:color w:val="222222"/>
          <w:sz w:val="22"/>
          <w:szCs w:val="22"/>
        </w:rPr>
        <w:t xml:space="preserve">mbzuai-tii-falcon-llm-research.jpg | Alt: Illustration representing UAE AI research institutions and the Falcon open-weight LLM</w:t>
      </w:r>
    </w:p>
    <w:p>
      <w:pPr>
        <w:pStyle w:val="Heading2"/>
        <w:pBdr>
          <w:bottom w:val="single" w:color="1F3864" w:sz="6" w:space="4"/>
        </w:pBdr>
        <w:spacing w:after="180" w:before="320"/>
      </w:pPr>
      <w:r>
        <w:rPr>
          <w:b/>
          <w:bCs/>
          <w:color w:val="1F3864"/>
          <w:sz w:val="30"/>
          <w:szCs w:val="30"/>
        </w:rPr>
        <w:t xml:space="preserve">Schema Markup</w:t>
      </w:r>
    </w:p>
    <w:p>
      <w:pPr>
        <w:spacing w:after="160"/>
      </w:pPr>
      <w:r>
        <w:rPr>
          <w:color w:val="222222"/>
          <w:sz w:val="22"/>
          <w:szCs w:val="22"/>
        </w:rPr>
        <w:t xml:space="preserve">Article Schema:</w:t>
      </w:r>
    </w:p>
    <w:p>
      <w:pPr>
        <w:spacing w:after="160"/>
      </w:pPr>
      <w:r>
        <w:rPr>
          <w:rFonts w:ascii="Consolas" w:cs="Consolas" w:eastAsia="Consolas" w:hAnsi="Consolas"/>
          <w:color w:val="444444"/>
          <w:sz w:val="18"/>
          <w:szCs w:val="18"/>
        </w:rPr>
        <w:t xml:space="preserve">{"@context":"https://schema.org","@type":"Article","headline":"What Are the Best AI Companies in the UAE?","datePublished":"2026-09-01","dateModified":"2026-09-01","author":{"@type":"Organization","name":"[Your Brand]"}}</w:t>
      </w:r>
    </w:p>
    <w:p>
      <w:pPr>
        <w:spacing w:after="160"/>
      </w:pPr>
      <w:r>
        <w:rPr>
          <w:color w:val="222222"/>
          <w:sz w:val="22"/>
          <w:szCs w:val="22"/>
        </w:rPr>
        <w:t xml:space="preserve">FAQ Schema: use FAQPage type with each Q&amp;A pair above as a Question / acceptedAnswer entity.</w:t>
      </w:r>
    </w:p>
    <w:p>
      <w:pPr>
        <w:spacing w:after="160"/>
      </w:pPr>
      <w:r>
        <w:rPr>
          <w:color w:val="222222"/>
          <w:sz w:val="22"/>
          <w:szCs w:val="22"/>
        </w:rPr>
        <w:t xml:space="preserve">Organization Schema: reference publisher name, logo URL, and sameAs social profile links.</w:t>
      </w:r>
    </w:p>
    <w:p>
      <w:pPr>
        <w:spacing w:after="160"/>
      </w:pPr>
      <w:r>
        <w:rPr>
          <w:color w:val="222222"/>
          <w:sz w:val="22"/>
          <w:szCs w:val="22"/>
        </w:rPr>
        <w:t xml:space="preserve">Breadcrumb Schema: BreadcrumbList matching the breadcrumb path above.</w:t>
      </w:r>
    </w:p>
    <w:p>
      <w:pPr>
        <w:spacing w:after="160"/>
      </w:pPr>
      <w:r>
        <w:rPr>
          <w:color w:val="222222"/>
          <w:sz w:val="22"/>
          <w:szCs w:val="22"/>
        </w:rPr>
        <w:t xml:space="preserve">ItemList Schema: wrap the thirteen companies in the comparison table as an ItemList with position order matching the table.</w:t>
      </w:r>
    </w:p>
    <w:p>
      <w:pPr>
        <w:pStyle w:val="Heading2"/>
        <w:pBdr>
          <w:bottom w:val="single" w:color="1F3864" w:sz="6" w:space="4"/>
        </w:pBdr>
        <w:spacing w:after="180" w:before="320"/>
      </w:pPr>
      <w:r>
        <w:rPr>
          <w:b/>
          <w:bCs/>
          <w:color w:val="1F3864"/>
          <w:sz w:val="30"/>
          <w:szCs w:val="30"/>
        </w:rPr>
        <w:t xml:space="preserve">Internal Linking Opportunities</w:t>
      </w:r>
    </w:p>
    <w:p>
      <w:pPr>
        <w:spacing w:after="160"/>
      </w:pPr>
      <w:r>
        <w:rPr>
          <w:b/>
          <w:bCs/>
          <w:color w:val="222222"/>
          <w:sz w:val="22"/>
          <w:szCs w:val="22"/>
        </w:rPr>
        <w:t xml:space="preserve">NVIDIA GPU distributor UAE guide - </w:t>
      </w:r>
      <w:r>
        <w:rPr>
          <w:color w:val="222222"/>
          <w:sz w:val="22"/>
          <w:szCs w:val="22"/>
        </w:rPr>
        <w:t xml:space="preserve">anchor text: "NVIDIA GPU distributor in the UAE"</w:t>
      </w:r>
    </w:p>
    <w:p>
      <w:pPr>
        <w:spacing w:after="160"/>
      </w:pPr>
      <w:r>
        <w:rPr>
          <w:b/>
          <w:bCs/>
          <w:color w:val="222222"/>
          <w:sz w:val="22"/>
          <w:szCs w:val="22"/>
        </w:rPr>
        <w:t xml:space="preserve">AI inference architecture guide - </w:t>
      </w:r>
      <w:r>
        <w:rPr>
          <w:color w:val="222222"/>
          <w:sz w:val="22"/>
          <w:szCs w:val="22"/>
        </w:rPr>
        <w:t xml:space="preserve">anchor text: "AI inference architecture"</w:t>
      </w:r>
    </w:p>
    <w:p>
      <w:pPr>
        <w:spacing w:after="160"/>
      </w:pPr>
      <w:r>
        <w:rPr>
          <w:b/>
          <w:bCs/>
          <w:color w:val="222222"/>
          <w:sz w:val="22"/>
          <w:szCs w:val="22"/>
        </w:rPr>
        <w:t xml:space="preserve">LoRA vs QLoRA vs full fine-tuning breakdown - </w:t>
      </w:r>
      <w:r>
        <w:rPr>
          <w:color w:val="222222"/>
          <w:sz w:val="22"/>
          <w:szCs w:val="22"/>
        </w:rPr>
        <w:t xml:space="preserve">anchor text: "fine-tuning approaches"</w:t>
      </w:r>
    </w:p>
    <w:p>
      <w:pPr>
        <w:spacing w:after="160"/>
      </w:pPr>
      <w:r>
        <w:rPr>
          <w:b/>
          <w:bCs/>
          <w:color w:val="222222"/>
          <w:sz w:val="22"/>
          <w:szCs w:val="22"/>
        </w:rPr>
        <w:t xml:space="preserve">GPU server procurement UAE buyer's guide - </w:t>
      </w:r>
      <w:r>
        <w:rPr>
          <w:color w:val="222222"/>
          <w:sz w:val="22"/>
          <w:szCs w:val="22"/>
        </w:rPr>
        <w:t xml:space="preserve">anchor text: "GPU server procurement in the UAE"</w:t>
      </w:r>
    </w:p>
    <w:p>
      <w:pPr>
        <w:spacing w:after="160"/>
      </w:pPr>
      <w:r>
        <w:rPr>
          <w:b/>
          <w:bCs/>
          <w:color w:val="222222"/>
          <w:sz w:val="22"/>
          <w:szCs w:val="22"/>
        </w:rPr>
        <w:t xml:space="preserve">NVIDIA GPU distributor Saudi Arabia cluster page - </w:t>
      </w:r>
      <w:r>
        <w:rPr>
          <w:color w:val="222222"/>
          <w:sz w:val="22"/>
          <w:szCs w:val="22"/>
        </w:rPr>
        <w:t xml:space="preserve">anchor text: "AI hardware access in Saudi Arabia"</w:t>
      </w:r>
    </w:p>
    <w:p>
      <w:pPr>
        <w:spacing w:after="160"/>
      </w:pPr>
      <w:r>
        <w:rPr>
          <w:b/>
          <w:bCs/>
          <w:color w:val="222222"/>
          <w:sz w:val="22"/>
          <w:szCs w:val="22"/>
        </w:rPr>
        <w:t xml:space="preserve">Data center infrastructure and cooling pillar page - </w:t>
      </w:r>
      <w:r>
        <w:rPr>
          <w:color w:val="222222"/>
          <w:sz w:val="22"/>
          <w:szCs w:val="22"/>
        </w:rPr>
        <w:t xml:space="preserve">anchor text: "AI data center infrastructure"</w:t>
      </w:r>
    </w:p>
    <w:p>
      <w:pPr>
        <w:spacing w:after="160"/>
      </w:pPr>
      <w:r>
        <w:rPr>
          <w:b/>
          <w:bCs/>
          <w:color w:val="222222"/>
          <w:sz w:val="22"/>
          <w:szCs w:val="22"/>
        </w:rPr>
        <w:t xml:space="preserve">TCO and cloud economics pillar page - </w:t>
      </w:r>
      <w:r>
        <w:rPr>
          <w:color w:val="222222"/>
          <w:sz w:val="22"/>
          <w:szCs w:val="22"/>
        </w:rPr>
        <w:t xml:space="preserve">anchor text: "total cost of ownership for AI compute"</w:t>
      </w:r>
    </w:p>
    <w:p>
      <w:pPr>
        <w:spacing w:after="160"/>
      </w:pPr>
      <w:r>
        <w:rPr>
          <w:b/>
          <w:bCs/>
          <w:color w:val="222222"/>
          <w:sz w:val="22"/>
          <w:szCs w:val="22"/>
        </w:rPr>
        <w:t xml:space="preserve">LLM training and GPU sizing pillar page - </w:t>
      </w:r>
      <w:r>
        <w:rPr>
          <w:color w:val="222222"/>
          <w:sz w:val="22"/>
          <w:szCs w:val="22"/>
        </w:rPr>
        <w:t xml:space="preserve">anchor text: "GPU sizing for LLM training"</w:t>
      </w:r>
    </w:p>
    <w:p>
      <w:pPr>
        <w:spacing w:after="160"/>
      </w:pPr>
      <w:r>
        <w:rPr>
          <w:b/>
          <w:bCs/>
          <w:color w:val="222222"/>
          <w:sz w:val="22"/>
          <w:szCs w:val="22"/>
        </w:rPr>
        <w:t xml:space="preserve">Chip and architecture comparison hub - </w:t>
      </w:r>
      <w:r>
        <w:rPr>
          <w:color w:val="222222"/>
          <w:sz w:val="22"/>
          <w:szCs w:val="22"/>
        </w:rPr>
        <w:t xml:space="preserve">anchor text: "GPU architecture comparisons"</w:t>
      </w:r>
    </w:p>
    <w:p>
      <w:pPr>
        <w:spacing w:after="160"/>
      </w:pPr>
      <w:r>
        <w:rPr>
          <w:b/>
          <w:bCs/>
          <w:color w:val="222222"/>
          <w:sz w:val="22"/>
          <w:szCs w:val="22"/>
        </w:rPr>
        <w:t xml:space="preserve">Comparison tool page (/comparison) - </w:t>
      </w:r>
      <w:r>
        <w:rPr>
          <w:color w:val="222222"/>
          <w:sz w:val="22"/>
          <w:szCs w:val="22"/>
        </w:rPr>
        <w:t xml:space="preserve">anchor text: "compare GPU options"</w:t>
      </w:r>
    </w:p>
    <w:p>
      <w:pPr>
        <w:spacing w:after="160"/>
      </w:pPr>
      <w:r>
        <w:rPr>
          <w:b/>
          <w:bCs/>
          <w:color w:val="222222"/>
          <w:sz w:val="22"/>
          <w:szCs w:val="22"/>
        </w:rPr>
        <w:t xml:space="preserve">Developer Hub - </w:t>
      </w:r>
      <w:r>
        <w:rPr>
          <w:color w:val="222222"/>
          <w:sz w:val="22"/>
          <w:szCs w:val="22"/>
        </w:rPr>
        <w:t xml:space="preserve">anchor text: "developer resources"</w:t>
      </w:r>
    </w:p>
    <w:p>
      <w:pPr>
        <w:spacing w:after="160"/>
      </w:pPr>
      <w:r>
        <w:rPr>
          <w:b/>
          <w:bCs/>
          <w:color w:val="222222"/>
          <w:sz w:val="22"/>
          <w:szCs w:val="22"/>
        </w:rPr>
        <w:t xml:space="preserve">Solutions page - </w:t>
      </w:r>
      <w:r>
        <w:rPr>
          <w:color w:val="222222"/>
          <w:sz w:val="22"/>
          <w:szCs w:val="22"/>
        </w:rPr>
        <w:t xml:space="preserve">anchor text: "enterprise AI hardware solutions"</w:t>
      </w:r>
    </w:p>
    <w:p>
      <w:pPr>
        <w:spacing w:after="160"/>
      </w:pPr>
      <w:r>
        <w:rPr>
          <w:b/>
          <w:bCs/>
          <w:color w:val="222222"/>
          <w:sz w:val="22"/>
          <w:szCs w:val="22"/>
        </w:rPr>
        <w:t xml:space="preserve">Stargate UAE / export-control coverage (if published) - </w:t>
      </w:r>
      <w:r>
        <w:rPr>
          <w:color w:val="222222"/>
          <w:sz w:val="22"/>
          <w:szCs w:val="22"/>
        </w:rPr>
        <w:t xml:space="preserve">anchor text: "UAE chip export reclassification"</w:t>
      </w:r>
    </w:p>
    <w:p>
      <w:pPr>
        <w:spacing w:after="160"/>
      </w:pPr>
      <w:r>
        <w:rPr>
          <w:b/>
          <w:bCs/>
          <w:color w:val="222222"/>
          <w:sz w:val="22"/>
          <w:szCs w:val="22"/>
        </w:rPr>
        <w:t xml:space="preserve">Any Middle East AI market trends article - </w:t>
      </w:r>
      <w:r>
        <w:rPr>
          <w:color w:val="222222"/>
          <w:sz w:val="22"/>
          <w:szCs w:val="22"/>
        </w:rPr>
        <w:t xml:space="preserve">anchor text: "AI market trends in the Middle East"</w:t>
      </w:r>
    </w:p>
    <w:p>
      <w:pPr>
        <w:spacing w:after="160"/>
      </w:pPr>
      <w:r>
        <w:rPr>
          <w:b/>
          <w:bCs/>
          <w:color w:val="222222"/>
          <w:sz w:val="22"/>
          <w:szCs w:val="22"/>
        </w:rPr>
        <w:t xml:space="preserve">Any UAE smart-city or government-AI-focused article - </w:t>
      </w:r>
      <w:r>
        <w:rPr>
          <w:color w:val="222222"/>
          <w:sz w:val="22"/>
          <w:szCs w:val="22"/>
        </w:rPr>
        <w:t xml:space="preserve">anchor text: "UAE smart city AI initiatives"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2026-09-01T09:18:54.547Z</dcterms:created>
  <dcterms:modified xsi:type="dcterms:W3CDTF">2026-09-01T09:18:54.559Z</dcterms:modified>
</cp:coreProperties>
</file>

<file path=docProps/custom.xml><?xml version="1.0" encoding="utf-8"?>
<Properties xmlns="http://schemas.openxmlformats.org/officeDocument/2006/custom-properties" xmlns:vt="http://schemas.openxmlformats.org/officeDocument/2006/docPropsVTypes"/>
</file>