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案例：95式外形仿真训练模型的机电光系统结构与工作机理</w:t>
      </w:r>
    </w:p>
    <w:p>
      <w:pPr>
        <w:pStyle w:val="Subtitle"/>
      </w:pPr>
      <w:r>
        <w:t xml:space="preserve">——《国防教育概论》国防教育装备案例书稿</w:t>
      </w:r>
    </w:p>
    <w:p>
      <w:pPr>
        <w:pStyle w:val="BlockText"/>
      </w:pPr>
      <w:r>
        <w:rPr>
          <w:bCs/>
          <w:b/>
        </w:rPr>
        <w:t xml:space="preserve">编写说明</w:t>
      </w:r>
      <w:r>
        <w:t xml:space="preserve">　本案例以三份实物分析文档为基础，选择其中具有教学价值的整机关系、供电与BMS、电池等效电路、控制逻辑、电磁执行、激光光路、协同链路和测试流程等图示内容，并统一重绘为适合教材排版的示意图。实物照片能够确认的是电池组、保护板、线束、管状组件、外壳和安装支架等；电磁铁、激光器的具体型号、额定参数和内部安装位置尚未完全拆解确认。因此，下文关于电磁铁和激光模块的内容均属于</w:t>
      </w:r>
      <w:r>
        <w:rPr>
          <w:bCs/>
          <w:b/>
        </w:rPr>
        <w:t xml:space="preserve">功能等效建模</w:t>
      </w:r>
      <w:r>
        <w:t xml:space="preserve">，不作为真实装备内部结构或制造参数的复原。</w:t>
      </w:r>
    </w:p>
    <w:bookmarkStart w:id="23" w:name="案例背景与证据边界"/>
    <w:p>
      <w:pPr>
        <w:pStyle w:val="Heading1"/>
      </w:pPr>
      <w:r>
        <w:t xml:space="preserve">1 案例背景与证据边界</w:t>
      </w:r>
    </w:p>
    <w:p>
      <w:pPr>
        <w:pStyle w:val="FirstParagraph"/>
      </w:pPr>
      <w:r>
        <w:t xml:space="preserve">实体仿真训练装备兼具形态认知、操作程序训练和多模态反馈等特点，是国防教育装备中连接“知识认知”和“技能体验”的一类典型载体。与纯软件仿真相比，实体模型能够保留握持、瞄准、触发和姿态控制等动作链，并通过机械、声光或触觉反馈增强训练过程的可感知性。对这类装备进行原理说明时，应区分“实物直接证据”和“依据通用机电规律建立的等效模型”，避免将外观推断写成确定事实。</w:t>
      </w:r>
    </w:p>
    <w:p>
      <w:pPr>
        <w:pStyle w:val="BodyText"/>
      </w:pPr>
      <w:r>
        <w:t xml:space="preserve">从现有拆解资料能够直接确认：模型具有外部承载骨架、弹匣形电池仓、圆柱锂离子电池组、保护/管理电路板、主电源线与多芯检测线、管状执行总成、前端金属管件及安装支架。无法仅凭照片唯一确认的内容包括：电芯串并联方式、电磁执行器的具体形式、激光器波长与功率、控制程序以及传感器配置。因此，本节采用“照片证据—功能假设—物理模型—测试验证”的分析路径。</w:t>
      </w:r>
    </w:p>
    <w:p>
      <w:pPr>
        <w:pStyle w:val="BodyText"/>
      </w:pPr>
      <w:r>
        <w:drawing>
          <wp:inline>
            <wp:extent cx="4693920" cy="1988914"/>
            <wp:effectExtent b="0" l="0" r="0" t="0"/>
            <wp:docPr descr="" title="" id="21" name="Picture"/>
            <a:graphic>
              <a:graphicData uri="http://schemas.openxmlformats.org/drawingml/2006/picture">
                <pic:pic>
                  <pic:nvPicPr>
                    <pic:cNvPr descr="/home/runner/work/codex-test/codex-test/artifacts/defense_book_assets/fig01_photo_map.png" id="22" name="Picture"/>
                    <pic:cNvPicPr>
                      <a:picLocks noChangeArrowheads="1" noChangeAspect="1"/>
                    </pic:cNvPicPr>
                  </pic:nvPicPr>
                  <pic:blipFill>
                    <a:blip r:embed="rId20"/>
                    <a:stretch>
                      <a:fillRect/>
                    </a:stretch>
                  </pic:blipFill>
                  <pic:spPr bwMode="auto">
                    <a:xfrm>
                      <a:off x="0" y="0"/>
                      <a:ext cx="4693920" cy="1988914"/>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图1　依据原文档实物照片重绘的主要部件关系示意</w:t>
      </w:r>
      <w:r>
        <w:rPr>
          <w:rFonts w:ascii="宋体" w:hAnsi="宋体" w:eastAsia="宋体"/>
          <w:sz w:val="19"/>
        </w:rPr>
        <w:br/>
      </w:r>
      <w:r>
        <w:rPr>
          <w:iCs/>
          <w:rFonts w:ascii="宋体" w:hAnsi="宋体" w:eastAsia="宋体"/>
          <w:i/>
          <w:sz w:val="19"/>
        </w:rPr>
        <w:t xml:space="preserve">说明：图中仅表达相对关系，非制造图。其信息综合自原文档中的整机、弹匣形电池仓、管状执行总成和前端支架照片。</w:t>
      </w:r>
    </w:p>
    <w:bookmarkEnd w:id="23"/>
    <w:bookmarkStart w:id="27" w:name="系统总体构成与工作链"/>
    <w:p>
      <w:pPr>
        <w:pStyle w:val="Heading1"/>
      </w:pPr>
      <w:r>
        <w:t xml:space="preserve">2 系统总体构成与工作链</w:t>
      </w:r>
    </w:p>
    <w:p>
      <w:pPr>
        <w:pStyle w:val="FirstParagraph"/>
      </w:pPr>
      <w:r>
        <w:t xml:space="preserve">依据机电一体化系统的输入—处理—输出思想，模型可分为能源与保护、输入与控制、电磁执行、激光输出以及结构承载五个功能域。其核心并不是复现真实发射能量，而是在受限、可控的电能条件下形成可重复的机械与光学反馈，从而服务于认知和操作训练。</w:t>
      </w:r>
    </w:p>
    <w:p>
      <w:pPr>
        <w:pStyle w:val="BodyText"/>
      </w:pPr>
      <w:r>
        <w:drawing>
          <wp:inline>
            <wp:extent cx="4587240" cy="1591880"/>
            <wp:effectExtent b="0" l="0" r="0" t="0"/>
            <wp:docPr descr="" title="" id="25" name="Picture"/>
            <a:graphic>
              <a:graphicData uri="http://schemas.openxmlformats.org/drawingml/2006/picture">
                <pic:pic>
                  <pic:nvPicPr>
                    <pic:cNvPr descr="/home/runner/work/codex-test/codex-test/artifacts/defense_book_assets/fig02_system.png" id="26" name="Picture"/>
                    <pic:cNvPicPr>
                      <a:picLocks noChangeArrowheads="1" noChangeAspect="1"/>
                    </pic:cNvPicPr>
                  </pic:nvPicPr>
                  <pic:blipFill>
                    <a:blip r:embed="rId24"/>
                    <a:stretch>
                      <a:fillRect/>
                    </a:stretch>
                  </pic:blipFill>
                  <pic:spPr bwMode="auto">
                    <a:xfrm>
                      <a:off x="0" y="0"/>
                      <a:ext cx="4587240" cy="1591880"/>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图2　系统“能源—控制—执行—反馈”功能架构</w:t>
      </w:r>
      <w:r>
        <w:rPr>
          <w:rFonts w:ascii="宋体" w:hAnsi="宋体" w:eastAsia="宋体"/>
          <w:sz w:val="19"/>
        </w:rPr>
        <w:br/>
      </w:r>
      <w:r>
        <w:rPr>
          <w:rFonts w:ascii="宋体" w:hAnsi="宋体" w:eastAsia="宋体"/>
          <w:sz w:val="19"/>
        </w:rPr>
        <w:t xml:space="preserve">该图综合了第一份文档的机电系统功能架构与第二份文档的电磁—激光双支路框图。电池组经BMS向控制器和驱动器供电；扳机/模式开关提供输入；控制器分别驱动机械反馈和光学反馈两条支路。</w:t>
      </w:r>
    </w:p>
    <w:bookmarkEnd w:id="27"/>
    <w:bookmarkStart w:id="37" w:name="供电与电池管理模块"/>
    <w:p>
      <w:pPr>
        <w:pStyle w:val="Heading1"/>
      </w:pPr>
      <w:r>
        <w:t xml:space="preserve">3 供电与电池管理模块</w:t>
      </w:r>
    </w:p>
    <w:bookmarkStart w:id="31" w:name="电池组的理想串并联关系"/>
    <w:p>
      <w:pPr>
        <w:pStyle w:val="Heading2"/>
      </w:pPr>
      <w:r>
        <w:t xml:space="preserve">3.1 电池组的理想串并联关系</w:t>
      </w:r>
    </w:p>
    <w:p>
      <w:pPr>
        <w:pStyle w:val="FirstParagraph"/>
      </w:pPr>
      <w:r>
        <w:t xml:space="preserve">对于参数一致的电芯，若采用</w:t>
      </w:r>
      <w:r>
        <w:t xml:space="preserve"> </w:t>
      </w:r>
      <m:oMath>
        <m:sSub>
          <m:e>
            <m:r>
              <m:t>N</m:t>
            </m:r>
          </m:e>
          <m:sub>
            <m:r>
              <m:t>s</m:t>
            </m:r>
          </m:sub>
        </m:sSub>
      </m:oMath>
      <w:r>
        <w:t xml:space="preserve"> </w:t>
      </w:r>
      <w:r>
        <w:t xml:space="preserve">串、</w:t>
      </w:r>
      <m:oMath>
        <m:sSub>
          <m:e>
            <m:r>
              <m:t>N</m:t>
            </m:r>
          </m:e>
          <m:sub>
            <m:r>
              <m:t>p</m:t>
            </m:r>
          </m:sub>
        </m:sSub>
      </m:oMath>
      <w:r>
        <w:t xml:space="preserve"> </w:t>
      </w:r>
      <w:r>
        <w:t xml:space="preserve">并的理想连接，则电池组标称电压和容量可分别表示为</w:t>
      </w:r>
    </w:p>
    <w:p>
      <w:pPr>
        <w:pStyle w:val="BodyText"/>
      </w:pPr>
      <m:oMathPara>
        <m:oMathParaPr>
          <m:jc m:val="center"/>
        </m:oMathParaPr>
        <m:oMath>
          <m:sSub>
            <m:e>
              <m:r>
                <m:t>U</m:t>
              </m:r>
            </m:e>
            <m:sub>
              <m:r>
                <m:t>p</m:t>
              </m:r>
              <m:r>
                <m:t>a</m:t>
              </m:r>
              <m:r>
                <m:t>c</m:t>
              </m:r>
              <m:r>
                <m:t>k</m:t>
              </m:r>
            </m:sub>
          </m:sSub>
          <m:r>
            <m:rPr>
              <m:sty m:val="p"/>
            </m:rPr>
            <m:t>=</m:t>
          </m:r>
          <m:sSub>
            <m:e>
              <m:r>
                <m:t>N</m:t>
              </m:r>
            </m:e>
            <m:sub>
              <m:r>
                <m:t>s</m:t>
              </m:r>
            </m:sub>
          </m:sSub>
          <m:sSub>
            <m:e>
              <m:r>
                <m:t>U</m:t>
              </m:r>
            </m:e>
            <m:sub>
              <m:r>
                <m:t>c</m:t>
              </m:r>
              <m:r>
                <m:t>e</m:t>
              </m:r>
              <m:r>
                <m:t>l</m:t>
              </m:r>
              <m:r>
                <m:t>l</m:t>
              </m:r>
            </m:sub>
          </m:sSub>
          <m:r>
            <m:t>  </m:t>
          </m:r>
          <m:d>
            <m:dPr>
              <m:begChr m:val="("/>
              <m:endChr m:val=")"/>
              <m:sepChr m:val=""/>
              <m:grow/>
            </m:dPr>
            <m:e>
              <m:r>
                <m:t>1</m:t>
              </m:r>
            </m:e>
          </m:d>
        </m:oMath>
      </m:oMathPara>
    </w:p>
    <w:p>
      <w:pPr>
        <w:pStyle w:val="FirstParagraph"/>
      </w:pPr>
      <m:oMathPara>
        <m:oMathParaPr>
          <m:jc m:val="center"/>
        </m:oMathParaPr>
        <m:oMath>
          <m:sSub>
            <m:e>
              <m:r>
                <m:t>C</m:t>
              </m:r>
            </m:e>
            <m:sub>
              <m:r>
                <m:t>p</m:t>
              </m:r>
              <m:r>
                <m:t>a</m:t>
              </m:r>
              <m:r>
                <m:t>c</m:t>
              </m:r>
              <m:r>
                <m:t>k</m:t>
              </m:r>
            </m:sub>
          </m:sSub>
          <m:r>
            <m:rPr>
              <m:sty m:val="p"/>
            </m:rPr>
            <m:t>=</m:t>
          </m:r>
          <m:sSub>
            <m:e>
              <m:r>
                <m:t>N</m:t>
              </m:r>
            </m:e>
            <m:sub>
              <m:r>
                <m:t>p</m:t>
              </m:r>
            </m:sub>
          </m:sSub>
          <m:sSub>
            <m:e>
              <m:r>
                <m:t>C</m:t>
              </m:r>
            </m:e>
            <m:sub>
              <m:r>
                <m:t>c</m:t>
              </m:r>
              <m:r>
                <m:t>e</m:t>
              </m:r>
              <m:r>
                <m:t>l</m:t>
              </m:r>
              <m:r>
                <m:t>l</m:t>
              </m:r>
            </m:sub>
          </m:sSub>
          <m:r>
            <m:t>  </m:t>
          </m:r>
          <m:d>
            <m:dPr>
              <m:begChr m:val="("/>
              <m:endChr m:val=")"/>
              <m:sepChr m:val=""/>
              <m:grow/>
            </m:dPr>
            <m:e>
              <m:r>
                <m:t>2</m:t>
              </m:r>
            </m:e>
          </m:d>
        </m:oMath>
      </m:oMathPara>
    </w:p>
    <w:p>
      <w:pPr>
        <w:pStyle w:val="FirstParagraph"/>
      </w:pPr>
      <w:r>
        <w:t xml:space="preserve">式（1）—（2）只是理想串并联关系。实际可用容量还受到一致性、温度、倍率和保护策略影响，不能仅由并联数直接推断。</w:t>
      </w:r>
    </w:p>
    <w:p>
      <w:pPr>
        <w:pStyle w:val="BodyText"/>
      </w:pPr>
      <w:r>
        <w:drawing>
          <wp:inline>
            <wp:extent cx="4373880" cy="1802876"/>
            <wp:effectExtent b="0" l="0" r="0" t="0"/>
            <wp:docPr descr="" title="" id="29" name="Picture"/>
            <a:graphic>
              <a:graphicData uri="http://schemas.openxmlformats.org/drawingml/2006/picture">
                <pic:pic>
                  <pic:nvPicPr>
                    <pic:cNvPr descr="/home/runner/work/codex-test/codex-test/artifacts/defense_book_assets/fig03_battery_bms.png" id="30" name="Picture"/>
                    <pic:cNvPicPr>
                      <a:picLocks noChangeArrowheads="1" noChangeAspect="1"/>
                    </pic:cNvPicPr>
                  </pic:nvPicPr>
                  <pic:blipFill>
                    <a:blip r:embed="rId28"/>
                    <a:stretch>
                      <a:fillRect/>
                    </a:stretch>
                  </pic:blipFill>
                  <pic:spPr bwMode="auto">
                    <a:xfrm>
                      <a:off x="0" y="0"/>
                      <a:ext cx="4373880" cy="1802876"/>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图3　电池组、采样线与保护/管理电路关系示意</w:t>
      </w:r>
      <w:r>
        <w:rPr>
          <w:rFonts w:ascii="宋体" w:hAnsi="宋体" w:eastAsia="宋体"/>
          <w:sz w:val="19"/>
        </w:rPr>
        <w:br/>
      </w:r>
      <w:r>
        <w:rPr>
          <w:rFonts w:ascii="宋体" w:hAnsi="宋体" w:eastAsia="宋体"/>
          <w:sz w:val="19"/>
        </w:rPr>
        <w:t xml:space="preserve">该图依据两份原文档中的圆柱电芯、主电源线、检测线和小型保护板照片重绘。其教学价值在于说明BMS不是“电源开关”，而是通过电压、电流和温度信息对电池进行监测与保护。</w:t>
      </w:r>
    </w:p>
    <w:bookmarkEnd w:id="31"/>
    <w:bookmarkStart w:id="32" w:name="soc-的库仑计量表达"/>
    <w:p>
      <w:pPr>
        <w:pStyle w:val="Heading2"/>
      </w:pPr>
      <w:r>
        <w:t xml:space="preserve">3.2 SOC 的库仑计量表达</w:t>
      </w:r>
    </w:p>
    <w:p>
      <w:pPr>
        <w:pStyle w:val="FirstParagraph"/>
      </w:pPr>
      <w:r>
        <w:t xml:space="preserve">若规定</w:t>
      </w:r>
      <w:r>
        <w:rPr>
          <w:bCs/>
          <w:b/>
        </w:rPr>
        <w:t xml:space="preserve">放电电流为正</w:t>
      </w:r>
      <w:r>
        <w:t xml:space="preserve">，且额定容量</w:t>
      </w:r>
      <w:r>
        <w:t xml:space="preserve"> </w:t>
      </w:r>
      <m:oMath>
        <m:sSub>
          <m:e>
            <m:r>
              <m:t>C</m:t>
            </m:r>
          </m:e>
          <m:sub>
            <m:r>
              <m:t>n</m:t>
            </m:r>
          </m:sub>
        </m:sSub>
      </m:oMath>
      <w:r>
        <w:t xml:space="preserve"> </w:t>
      </w:r>
      <w:r>
        <w:t xml:space="preserve">以 A·h 表示，则库仑计量法可写为</w:t>
      </w:r>
    </w:p>
    <w:p>
      <w:pPr>
        <w:pStyle w:val="BodyText"/>
      </w:pPr>
      <m:oMathPara>
        <m:oMathParaPr>
          <m:jc m:val="center"/>
        </m:oMathParaPr>
        <m:oMath>
          <m:r>
            <m:t>S</m:t>
          </m:r>
          <m:r>
            <m:t>O</m:t>
          </m:r>
          <m:r>
            <m:t>C</m:t>
          </m:r>
          <m:d>
            <m:dPr>
              <m:begChr m:val="("/>
              <m:endChr m:val=")"/>
              <m:sepChr m:val=""/>
              <m:grow/>
            </m:dPr>
            <m:e>
              <m:r>
                <m:t>t</m:t>
              </m:r>
            </m:e>
          </m:d>
          <m:r>
            <m:rPr>
              <m:sty m:val="p"/>
            </m:rPr>
            <m:t>=</m:t>
          </m:r>
          <m:r>
            <m:t>S</m:t>
          </m:r>
          <m:r>
            <m:t>O</m:t>
          </m:r>
          <m:r>
            <m:t>C</m:t>
          </m:r>
          <m:d>
            <m:dPr>
              <m:begChr m:val="("/>
              <m:endChr m:val=")"/>
              <m:sepChr m:val=""/>
              <m:grow/>
            </m:dPr>
            <m:e>
              <m:sSub>
                <m:e>
                  <m:r>
                    <m:t>t</m:t>
                  </m:r>
                </m:e>
                <m:sub>
                  <m:r>
                    <m:t>0</m:t>
                  </m:r>
                </m:sub>
              </m:sSub>
            </m:e>
          </m:d>
          <m:r>
            <m:rPr>
              <m:sty m:val="p"/>
            </m:rPr>
            <m:t>−</m:t>
          </m:r>
          <m:f>
            <m:fPr>
              <m:type m:val="bar"/>
            </m:fPr>
            <m:num>
              <m:r>
                <m:t>η</m:t>
              </m:r>
            </m:num>
            <m:den>
              <m:r>
                <m:t>3600</m:t>
              </m:r>
              <m:sSub>
                <m:e>
                  <m:r>
                    <m:t>C</m:t>
                  </m:r>
                </m:e>
                <m:sub>
                  <m:r>
                    <m:t>n</m:t>
                  </m:r>
                </m:sub>
              </m:sSub>
            </m:den>
          </m:f>
          <m:nary>
            <m:naryPr>
              <m:chr m:val="∫"/>
              <m:limLoc m:val="subSup"/>
              <m:subHide m:val="off"/>
              <m:supHide m:val="off"/>
            </m:naryPr>
            <m:sub>
              <m:sSub>
                <m:e>
                  <m:r>
                    <m:t>t</m:t>
                  </m:r>
                </m:e>
                <m:sub>
                  <m:r>
                    <m:t>0</m:t>
                  </m:r>
                </m:sub>
              </m:sSub>
            </m:sub>
            <m:sup>
              <m:r>
                <m:t>t</m:t>
              </m:r>
            </m:sup>
            <m:e>
              <m:r>
                <m:t>I</m:t>
              </m:r>
            </m:e>
          </m:nary>
          <m:d>
            <m:dPr>
              <m:begChr m:val="("/>
              <m:endChr m:val=")"/>
              <m:sepChr m:val=""/>
              <m:grow/>
            </m:dPr>
            <m:e>
              <m:r>
                <m:t>τ</m:t>
              </m:r>
            </m:e>
          </m:d>
          <m:r>
            <m:t> </m:t>
          </m:r>
          <m:r>
            <m:rPr>
              <m:sty m:val="p"/>
            </m:rPr>
            <m:t>d</m:t>
          </m:r>
          <m:r>
            <m:t>τ</m:t>
          </m:r>
          <m:r>
            <m:t>  </m:t>
          </m:r>
          <m:d>
            <m:dPr>
              <m:begChr m:val="("/>
              <m:endChr m:val=")"/>
              <m:sepChr m:val=""/>
              <m:grow/>
            </m:dPr>
            <m:e>
              <m:r>
                <m:t>3</m:t>
              </m:r>
            </m:e>
          </m:d>
        </m:oMath>
      </m:oMathPara>
    </w:p>
    <w:p>
      <w:pPr>
        <w:pStyle w:val="FirstParagraph"/>
      </w:pPr>
      <w:r>
        <w:t xml:space="preserve">其中，</w:t>
      </w:r>
      <m:oMath>
        <m:r>
          <m:t>η</m:t>
        </m:r>
      </m:oMath>
      <w:r>
        <w:t xml:space="preserve"> </w:t>
      </w:r>
      <w:r>
        <w:t xml:space="preserve">为库仑效率。若容量改用库仑（A·s）表示，则式（3）中的 3600 应去掉。该关系广泛用于锂离子电池SOC估算，但长期使用时需要结合开路电压或滤波算法校正累计误差[13]。</w:t>
      </w:r>
    </w:p>
    <w:bookmarkEnd w:id="32"/>
    <w:bookmarkStart w:id="36" w:name="二阶-rc-等效模型"/>
    <w:p>
      <w:pPr>
        <w:pStyle w:val="Heading2"/>
      </w:pPr>
      <w:r>
        <w:t xml:space="preserve">3.3 二阶 RC 等效模型</w:t>
      </w:r>
    </w:p>
    <w:p>
      <w:pPr>
        <w:pStyle w:val="FirstParagraph"/>
      </w:pPr>
      <w:r>
        <w:t xml:space="preserve">为了说明执行器启动时端电压的瞬态下降与恢复，可使用双极化二阶RC等效电路。其典型形式由开路电压源</w:t>
      </w:r>
      <w:r>
        <w:t xml:space="preserve"> </w:t>
      </w:r>
      <m:oMath>
        <m:sSub>
          <m:e>
            <m:r>
              <m:t>U</m:t>
            </m:r>
          </m:e>
          <m:sub>
            <m:r>
              <m:t>o</m:t>
            </m:r>
            <m:r>
              <m:t>c</m:t>
            </m:r>
          </m:sub>
        </m:sSub>
        <m:d>
          <m:dPr>
            <m:begChr m:val="("/>
            <m:endChr m:val=")"/>
            <m:sepChr m:val=""/>
            <m:grow/>
          </m:dPr>
          <m:e>
            <m:r>
              <m:t>S</m:t>
            </m:r>
            <m:r>
              <m:t>O</m:t>
            </m:r>
            <m:r>
              <m:t>C</m:t>
            </m:r>
          </m:e>
        </m:d>
      </m:oMath>
      <w:r>
        <w:t xml:space="preserve">、欧姆内阻</w:t>
      </w:r>
      <w:r>
        <w:t xml:space="preserve"> </w:t>
      </w:r>
      <m:oMath>
        <m:sSub>
          <m:e>
            <m:r>
              <m:t>R</m:t>
            </m:r>
          </m:e>
          <m:sub>
            <m:r>
              <m:t>0</m:t>
            </m:r>
          </m:sub>
        </m:sSub>
      </m:oMath>
      <w:r>
        <w:t xml:space="preserve"> </w:t>
      </w:r>
      <w:r>
        <w:t xml:space="preserve">以及两个极化支路</w:t>
      </w:r>
      <w:r>
        <w:t xml:space="preserve"> </w:t>
      </w:r>
      <m:oMath>
        <m:sSub>
          <m:e>
            <m:r>
              <m:t>R</m:t>
            </m:r>
          </m:e>
          <m:sub>
            <m:r>
              <m:t>1</m:t>
            </m:r>
          </m:sub>
        </m:sSub>
        <m:sSub>
          <m:e>
            <m:r>
              <m:t>C</m:t>
            </m:r>
          </m:e>
          <m:sub>
            <m:r>
              <m:t>1</m:t>
            </m:r>
          </m:sub>
        </m:sSub>
      </m:oMath>
      <w:r>
        <w:t xml:space="preserve">、</w:t>
      </w:r>
      <m:oMath>
        <m:sSub>
          <m:e>
            <m:r>
              <m:t>R</m:t>
            </m:r>
          </m:e>
          <m:sub>
            <m:r>
              <m:t>2</m:t>
            </m:r>
          </m:sub>
        </m:sSub>
        <m:sSub>
          <m:e>
            <m:r>
              <m:t>C</m:t>
            </m:r>
          </m:e>
          <m:sub>
            <m:r>
              <m:t>2</m:t>
            </m:r>
          </m:sub>
        </m:sSub>
      </m:oMath>
      <w:r>
        <w:t xml:space="preserve"> </w:t>
      </w:r>
      <w:r>
        <w:t xml:space="preserve">构成。</w:t>
      </w:r>
    </w:p>
    <w:p>
      <w:pPr>
        <w:pStyle w:val="BodyText"/>
      </w:pPr>
      <w:r>
        <w:drawing>
          <wp:inline>
            <wp:extent cx="4480560" cy="1637565"/>
            <wp:effectExtent b="0" l="0" r="0" t="0"/>
            <wp:docPr descr="" title="" id="34" name="Picture"/>
            <a:graphic>
              <a:graphicData uri="http://schemas.openxmlformats.org/drawingml/2006/picture">
                <pic:pic>
                  <pic:nvPicPr>
                    <pic:cNvPr descr="/home/runner/work/codex-test/codex-test/artifacts/defense_book_assets/fig04_battery_rc.png" id="35" name="Picture"/>
                    <pic:cNvPicPr>
                      <a:picLocks noChangeArrowheads="1" noChangeAspect="1"/>
                    </pic:cNvPicPr>
                  </pic:nvPicPr>
                  <pic:blipFill>
                    <a:blip r:embed="rId33"/>
                    <a:stretch>
                      <a:fillRect/>
                    </a:stretch>
                  </pic:blipFill>
                  <pic:spPr bwMode="auto">
                    <a:xfrm>
                      <a:off x="0" y="0"/>
                      <a:ext cx="4480560" cy="1637565"/>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图4　锂离子电池二阶 RC 等效电路</w:t>
      </w:r>
      <w:r>
        <w:rPr>
          <w:rFonts w:ascii="宋体" w:hAnsi="宋体" w:eastAsia="宋体"/>
          <w:sz w:val="19"/>
        </w:rPr>
        <w:br/>
      </w:r>
      <w:r>
        <w:rPr>
          <w:rFonts w:ascii="宋体" w:hAnsi="宋体" w:eastAsia="宋体"/>
          <w:sz w:val="19"/>
        </w:rPr>
        <w:t xml:space="preserve">该图对应第一份文档中“电池二阶RC等效电路原理图”的教材化重绘。两个RC支路用于表征不同时间尺度的极化效应，而非代表电池内部存在两个实际电容器。</w:t>
      </w:r>
    </w:p>
    <w:p>
      <w:pPr>
        <w:pStyle w:val="BodyText"/>
      </w:pPr>
      <w:r>
        <w:t xml:space="preserve">在放电电流为正的约定下，可写为</w:t>
      </w:r>
    </w:p>
    <w:p>
      <w:pPr>
        <w:pStyle w:val="BodyText"/>
      </w:pPr>
      <m:oMathPara>
        <m:oMathParaPr>
          <m:jc m:val="center"/>
        </m:oMathParaPr>
        <m:oMath>
          <m:f>
            <m:fPr>
              <m:type m:val="bar"/>
            </m:fPr>
            <m:num>
              <m:r>
                <m:rPr>
                  <m:sty m:val="p"/>
                </m:rPr>
                <m:t>d</m:t>
              </m:r>
              <m:sSub>
                <m:e>
                  <m:r>
                    <m:t>U</m:t>
                  </m:r>
                </m:e>
                <m:sub>
                  <m:r>
                    <m:t>1</m:t>
                  </m:r>
                </m:sub>
              </m:sSub>
            </m:num>
            <m:den>
              <m:r>
                <m:rPr>
                  <m:sty m:val="p"/>
                </m:rPr>
                <m:t>d</m:t>
              </m:r>
              <m:r>
                <m:t>t</m:t>
              </m:r>
            </m:den>
          </m:f>
          <m:r>
            <m:rPr>
              <m:sty m:val="p"/>
            </m:rPr>
            <m:t>=</m:t>
          </m:r>
          <m:r>
            <m:rPr>
              <m:sty m:val="p"/>
            </m:rPr>
            <m:t>−</m:t>
          </m:r>
          <m:f>
            <m:fPr>
              <m:type m:val="bar"/>
            </m:fPr>
            <m:num>
              <m:sSub>
                <m:e>
                  <m:r>
                    <m:t>U</m:t>
                  </m:r>
                </m:e>
                <m:sub>
                  <m:r>
                    <m:t>1</m:t>
                  </m:r>
                </m:sub>
              </m:sSub>
            </m:num>
            <m:den>
              <m:sSub>
                <m:e>
                  <m:r>
                    <m:t>R</m:t>
                  </m:r>
                </m:e>
                <m:sub>
                  <m:r>
                    <m:t>1</m:t>
                  </m:r>
                </m:sub>
              </m:sSub>
              <m:sSub>
                <m:e>
                  <m:r>
                    <m:t>C</m:t>
                  </m:r>
                </m:e>
                <m:sub>
                  <m:r>
                    <m:t>1</m:t>
                  </m:r>
                </m:sub>
              </m:sSub>
            </m:den>
          </m:f>
          <m:r>
            <m:rPr>
              <m:sty m:val="p"/>
            </m:rPr>
            <m:t>+</m:t>
          </m:r>
          <m:f>
            <m:fPr>
              <m:type m:val="bar"/>
            </m:fPr>
            <m:num>
              <m:r>
                <m:t>I</m:t>
              </m:r>
            </m:num>
            <m:den>
              <m:sSub>
                <m:e>
                  <m:r>
                    <m:t>C</m:t>
                  </m:r>
                </m:e>
                <m:sub>
                  <m:r>
                    <m:t>1</m:t>
                  </m:r>
                </m:sub>
              </m:sSub>
            </m:den>
          </m:f>
          <m:r>
            <m:t>  </m:t>
          </m:r>
          <m:d>
            <m:dPr>
              <m:begChr m:val="("/>
              <m:endChr m:val=")"/>
              <m:sepChr m:val=""/>
              <m:grow/>
            </m:dPr>
            <m:e>
              <m:r>
                <m:t>4</m:t>
              </m:r>
            </m:e>
          </m:d>
        </m:oMath>
      </m:oMathPara>
    </w:p>
    <w:p>
      <w:pPr>
        <w:pStyle w:val="FirstParagraph"/>
      </w:pPr>
      <m:oMathPara>
        <m:oMathParaPr>
          <m:jc m:val="center"/>
        </m:oMathParaPr>
        <m:oMath>
          <m:f>
            <m:fPr>
              <m:type m:val="bar"/>
            </m:fPr>
            <m:num>
              <m:r>
                <m:rPr>
                  <m:sty m:val="p"/>
                </m:rPr>
                <m:t>d</m:t>
              </m:r>
              <m:sSub>
                <m:e>
                  <m:r>
                    <m:t>U</m:t>
                  </m:r>
                </m:e>
                <m:sub>
                  <m:r>
                    <m:t>2</m:t>
                  </m:r>
                </m:sub>
              </m:sSub>
            </m:num>
            <m:den>
              <m:r>
                <m:rPr>
                  <m:sty m:val="p"/>
                </m:rPr>
                <m:t>d</m:t>
              </m:r>
              <m:r>
                <m:t>t</m:t>
              </m:r>
            </m:den>
          </m:f>
          <m:r>
            <m:rPr>
              <m:sty m:val="p"/>
            </m:rPr>
            <m:t>=</m:t>
          </m:r>
          <m:r>
            <m:rPr>
              <m:sty m:val="p"/>
            </m:rPr>
            <m:t>−</m:t>
          </m:r>
          <m:f>
            <m:fPr>
              <m:type m:val="bar"/>
            </m:fPr>
            <m:num>
              <m:sSub>
                <m:e>
                  <m:r>
                    <m:t>U</m:t>
                  </m:r>
                </m:e>
                <m:sub>
                  <m:r>
                    <m:t>2</m:t>
                  </m:r>
                </m:sub>
              </m:sSub>
            </m:num>
            <m:den>
              <m:sSub>
                <m:e>
                  <m:r>
                    <m:t>R</m:t>
                  </m:r>
                </m:e>
                <m:sub>
                  <m:r>
                    <m:t>2</m:t>
                  </m:r>
                </m:sub>
              </m:sSub>
              <m:sSub>
                <m:e>
                  <m:r>
                    <m:t>C</m:t>
                  </m:r>
                </m:e>
                <m:sub>
                  <m:r>
                    <m:t>2</m:t>
                  </m:r>
                </m:sub>
              </m:sSub>
            </m:den>
          </m:f>
          <m:r>
            <m:rPr>
              <m:sty m:val="p"/>
            </m:rPr>
            <m:t>+</m:t>
          </m:r>
          <m:f>
            <m:fPr>
              <m:type m:val="bar"/>
            </m:fPr>
            <m:num>
              <m:r>
                <m:t>I</m:t>
              </m:r>
            </m:num>
            <m:den>
              <m:sSub>
                <m:e>
                  <m:r>
                    <m:t>C</m:t>
                  </m:r>
                </m:e>
                <m:sub>
                  <m:r>
                    <m:t>2</m:t>
                  </m:r>
                </m:sub>
              </m:sSub>
            </m:den>
          </m:f>
          <m:r>
            <m:t>  </m:t>
          </m:r>
          <m:d>
            <m:dPr>
              <m:begChr m:val="("/>
              <m:endChr m:val=")"/>
              <m:sepChr m:val=""/>
              <m:grow/>
            </m:dPr>
            <m:e>
              <m:r>
                <m:t>5</m:t>
              </m:r>
            </m:e>
          </m:d>
        </m:oMath>
      </m:oMathPara>
    </w:p>
    <w:p>
      <w:pPr>
        <w:pStyle w:val="FirstParagraph"/>
      </w:pPr>
      <m:oMathPara>
        <m:oMathParaPr>
          <m:jc m:val="center"/>
        </m:oMathParaPr>
        <m:oMath>
          <m:sSub>
            <m:e>
              <m:r>
                <m:t>U</m:t>
              </m:r>
            </m:e>
            <m:sub>
              <m:r>
                <m:t>t</m:t>
              </m:r>
            </m:sub>
          </m:sSub>
          <m:r>
            <m:rPr>
              <m:sty m:val="p"/>
            </m:rPr>
            <m:t>=</m:t>
          </m:r>
          <m:sSub>
            <m:e>
              <m:r>
                <m:t>U</m:t>
              </m:r>
            </m:e>
            <m:sub>
              <m:r>
                <m:t>o</m:t>
              </m:r>
              <m:r>
                <m:t>c</m:t>
              </m:r>
            </m:sub>
          </m:sSub>
          <m:d>
            <m:dPr>
              <m:begChr m:val="("/>
              <m:endChr m:val=")"/>
              <m:sepChr m:val=""/>
              <m:grow/>
            </m:dPr>
            <m:e>
              <m:r>
                <m:t>S</m:t>
              </m:r>
              <m:r>
                <m:t>O</m:t>
              </m:r>
              <m:r>
                <m:t>C</m:t>
              </m:r>
            </m:e>
          </m:d>
          <m:r>
            <m:rPr>
              <m:sty m:val="p"/>
            </m:rPr>
            <m:t>−</m:t>
          </m:r>
          <m:r>
            <m:t>I</m:t>
          </m:r>
          <m:sSub>
            <m:e>
              <m:r>
                <m:t>R</m:t>
              </m:r>
            </m:e>
            <m:sub>
              <m:r>
                <m:t>0</m:t>
              </m:r>
            </m:sub>
          </m:sSub>
          <m:r>
            <m:rPr>
              <m:sty m:val="p"/>
            </m:rPr>
            <m:t>−</m:t>
          </m:r>
          <m:sSub>
            <m:e>
              <m:r>
                <m:t>U</m:t>
              </m:r>
            </m:e>
            <m:sub>
              <m:r>
                <m:t>1</m:t>
              </m:r>
            </m:sub>
          </m:sSub>
          <m:r>
            <m:rPr>
              <m:sty m:val="p"/>
            </m:rPr>
            <m:t>−</m:t>
          </m:r>
          <m:sSub>
            <m:e>
              <m:r>
                <m:t>U</m:t>
              </m:r>
            </m:e>
            <m:sub>
              <m:r>
                <m:t>2</m:t>
              </m:r>
            </m:sub>
          </m:sSub>
          <m:r>
            <m:t>  </m:t>
          </m:r>
          <m:d>
            <m:dPr>
              <m:begChr m:val="("/>
              <m:endChr m:val=")"/>
              <m:sepChr m:val=""/>
              <m:grow/>
            </m:dPr>
            <m:e>
              <m:r>
                <m:t>6</m:t>
              </m:r>
            </m:e>
          </m:d>
        </m:oMath>
      </m:oMathPara>
    </w:p>
    <w:p>
      <w:pPr>
        <w:pStyle w:val="FirstParagraph"/>
      </w:pPr>
      <w:r>
        <w:t xml:space="preserve">这一组关系与二阶RC电池模型的经典表达一致，可用于解释动态负载下的端电压响应[13-14]。</w:t>
      </w:r>
    </w:p>
    <w:bookmarkEnd w:id="36"/>
    <w:bookmarkEnd w:id="37"/>
    <w:bookmarkStart w:id="41" w:name="触发控制与安全互锁"/>
    <w:p>
      <w:pPr>
        <w:pStyle w:val="Heading1"/>
      </w:pPr>
      <w:r>
        <w:t xml:space="preserve">4 触发、控制与安全互锁</w:t>
      </w:r>
    </w:p>
    <w:p>
      <w:pPr>
        <w:pStyle w:val="FirstParagraph"/>
      </w:pPr>
      <w:r>
        <w:t xml:space="preserve">扳机或模式开关在仿真训练模型中应视为控制输入，而不是能量释放源。控制器负责完成输入确认、互锁判定、动作计时、支路驱动和故障处置。为了抑制机械触点抖动，可采用时间窗或采样计数方式确认有效输入。</w:t>
      </w:r>
    </w:p>
    <w:p>
      <w:pPr>
        <w:pStyle w:val="BodyText"/>
      </w:pPr>
      <w:r>
        <w:drawing>
          <wp:inline>
            <wp:extent cx="4160520" cy="1594161"/>
            <wp:effectExtent b="0" l="0" r="0" t="0"/>
            <wp:docPr descr="" title="" id="39" name="Picture"/>
            <a:graphic>
              <a:graphicData uri="http://schemas.openxmlformats.org/drawingml/2006/picture">
                <pic:pic>
                  <pic:nvPicPr>
                    <pic:cNvPr descr="/home/runner/work/codex-test/codex-test/artifacts/defense_book_assets/fig05_fsm.png" id="40" name="Picture"/>
                    <pic:cNvPicPr>
                      <a:picLocks noChangeArrowheads="1" noChangeAspect="1"/>
                    </pic:cNvPicPr>
                  </pic:nvPicPr>
                  <pic:blipFill>
                    <a:blip r:embed="rId38"/>
                    <a:stretch>
                      <a:fillRect/>
                    </a:stretch>
                  </pic:blipFill>
                  <pic:spPr bwMode="auto">
                    <a:xfrm>
                      <a:off x="0" y="0"/>
                      <a:ext cx="4160520" cy="1594161"/>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图5　触发与安全互锁的有限状态机</w:t>
      </w:r>
      <w:r>
        <w:rPr>
          <w:rFonts w:ascii="宋体" w:hAnsi="宋体" w:eastAsia="宋体"/>
          <w:sz w:val="19"/>
        </w:rPr>
        <w:br/>
      </w:r>
      <w:r>
        <w:rPr>
          <w:rFonts w:ascii="宋体" w:hAnsi="宋体" w:eastAsia="宋体"/>
          <w:sz w:val="19"/>
        </w:rPr>
        <w:t xml:space="preserve">该图根据第一份文档中“待机—自检—执行—复位—故障”状态机重绘。教材中采用状态机描述有助于学生理解：仿真装备的安全性不只依赖硬件保险，还依赖欠压、过流、过温、超时等软件/电气互锁条件。</w:t>
      </w:r>
    </w:p>
    <w:bookmarkEnd w:id="41"/>
    <w:bookmarkStart w:id="52" w:name="电磁执行模块"/>
    <w:p>
      <w:pPr>
        <w:pStyle w:val="Heading1"/>
      </w:pPr>
      <w:r>
        <w:t xml:space="preserve">5 电磁执行模块</w:t>
      </w:r>
    </w:p>
    <w:bookmarkStart w:id="45" w:name="典型结构与磁路"/>
    <w:p>
      <w:pPr>
        <w:pStyle w:val="Heading2"/>
      </w:pPr>
      <w:r>
        <w:t xml:space="preserve">5.1 典型结构与磁路</w:t>
      </w:r>
    </w:p>
    <w:p>
      <w:pPr>
        <w:pStyle w:val="FirstParagraph"/>
      </w:pPr>
      <w:r>
        <w:t xml:space="preserve">在功能等效模型中，可用推拉式直线电磁铁解释短行程机械反馈。典型结构包括励磁线圈、固定铁芯、动铁芯（衔铁）、磁轭、导向件、工作气隙和复位弹簧。</w:t>
      </w:r>
    </w:p>
    <w:p>
      <w:pPr>
        <w:pStyle w:val="BodyText"/>
      </w:pPr>
      <w:r>
        <w:drawing>
          <wp:inline>
            <wp:extent cx="4373880" cy="1939991"/>
            <wp:effectExtent b="0" l="0" r="0" t="0"/>
            <wp:docPr descr="" title="" id="43" name="Picture"/>
            <a:graphic>
              <a:graphicData uri="http://schemas.openxmlformats.org/drawingml/2006/picture">
                <pic:pic>
                  <pic:nvPicPr>
                    <pic:cNvPr descr="/home/runner/work/codex-test/codex-test/artifacts/defense_book_assets/fig06_solenoid.png" id="44" name="Picture"/>
                    <pic:cNvPicPr>
                      <a:picLocks noChangeArrowheads="1" noChangeAspect="1"/>
                    </pic:cNvPicPr>
                  </pic:nvPicPr>
                  <pic:blipFill>
                    <a:blip r:embed="rId42"/>
                    <a:stretch>
                      <a:fillRect/>
                    </a:stretch>
                  </pic:blipFill>
                  <pic:spPr bwMode="auto">
                    <a:xfrm>
                      <a:off x="0" y="0"/>
                      <a:ext cx="4373880" cy="1939991"/>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图6　直线电磁铁结构与动作原理示意</w:t>
      </w:r>
      <w:r>
        <w:rPr>
          <w:rFonts w:ascii="宋体" w:hAnsi="宋体" w:eastAsia="宋体"/>
          <w:sz w:val="19"/>
        </w:rPr>
        <w:br/>
      </w:r>
      <w:r>
        <w:rPr>
          <w:rFonts w:ascii="宋体" w:hAnsi="宋体" w:eastAsia="宋体"/>
          <w:sz w:val="19"/>
        </w:rPr>
        <w:t xml:space="preserve">该图综合第二份文档的电磁铁结构示意与“95式公式”文档中的校核版模型。线圈通电后，磁路趋向于降低总磁阻，动铁芯因此朝气隙减小方向运动；断电后由弹簧或外部机构复位。</w:t>
      </w:r>
    </w:p>
    <w:p>
      <w:pPr>
        <w:pStyle w:val="BodyText"/>
      </w:pPr>
      <w:r>
        <w:t xml:space="preserve">对于由多个材料区段组成的简化磁路，总磁阻可写为</w:t>
      </w:r>
    </w:p>
    <w:p>
      <w:pPr>
        <w:pStyle w:val="BodyText"/>
      </w:pPr>
      <m:oMathPara>
        <m:oMathParaPr>
          <m:jc m:val="center"/>
        </m:oMathParaPr>
        <m:oMath>
          <m:sSub>
            <m:e>
              <m:r>
                <m:rPr>
                  <m:sty m:val="p"/>
                  <m:scr m:val="script"/>
                </m:rPr>
                <m:t>R</m:t>
              </m:r>
            </m:e>
            <m:sub>
              <m:r>
                <m:t>m</m:t>
              </m:r>
            </m:sub>
          </m:sSub>
          <m:r>
            <m:rPr>
              <m:sty m:val="p"/>
            </m:rPr>
            <m:t>=</m:t>
          </m:r>
          <m:nary>
            <m:naryPr>
              <m:chr m:val="∑"/>
              <m:limLoc m:val="undOvr"/>
              <m:subHide m:val="off"/>
              <m:supHide m:val="on"/>
            </m:naryPr>
            <m:sub>
              <m:r>
                <m:t>i</m:t>
              </m:r>
            </m:sub>
            <m:sup>
              <m:r>
                <m:t>​</m:t>
              </m:r>
            </m:sup>
            <m:e>
              <m:f>
                <m:fPr>
                  <m:type m:val="bar"/>
                </m:fPr>
                <m:num>
                  <m:sSub>
                    <m:e>
                      <m:r>
                        <m:rPr>
                          <m:sty m:val="p"/>
                        </m:rPr>
                        <m:t>ℓ</m:t>
                      </m:r>
                    </m:e>
                    <m:sub>
                      <m:r>
                        <m:t>i</m:t>
                      </m:r>
                    </m:sub>
                  </m:sSub>
                </m:num>
                <m:den>
                  <m:sSub>
                    <m:e>
                      <m:r>
                        <m:t>μ</m:t>
                      </m:r>
                    </m:e>
                    <m:sub>
                      <m:r>
                        <m:t>i</m:t>
                      </m:r>
                    </m:sub>
                  </m:sSub>
                  <m:sSub>
                    <m:e>
                      <m:r>
                        <m:t>A</m:t>
                      </m:r>
                    </m:e>
                    <m:sub>
                      <m:r>
                        <m:t>i</m:t>
                      </m:r>
                    </m:sub>
                  </m:sSub>
                </m:den>
              </m:f>
            </m:e>
          </m:nary>
          <m:r>
            <m:t>  </m:t>
          </m:r>
          <m:d>
            <m:dPr>
              <m:begChr m:val="("/>
              <m:endChr m:val=")"/>
              <m:sepChr m:val=""/>
              <m:grow/>
            </m:dPr>
            <m:e>
              <m:r>
                <m:t>7</m:t>
              </m:r>
            </m:e>
          </m:d>
        </m:oMath>
      </m:oMathPara>
    </w:p>
    <w:p>
      <w:pPr>
        <w:pStyle w:val="FirstParagraph"/>
      </w:pPr>
      <w:r>
        <w:t xml:space="preserve">忽略漏磁并假定主磁路磁通连续时，</w:t>
      </w:r>
    </w:p>
    <w:p>
      <w:pPr>
        <w:pStyle w:val="BodyText"/>
      </w:pPr>
      <m:oMathPara>
        <m:oMathParaPr>
          <m:jc m:val="center"/>
        </m:oMathParaPr>
        <m:oMath>
          <m:r>
            <m:t>Φ</m:t>
          </m:r>
          <m:r>
            <m:rPr>
              <m:sty m:val="p"/>
            </m:rPr>
            <m:t>=</m:t>
          </m:r>
          <m:f>
            <m:fPr>
              <m:type m:val="bar"/>
            </m:fPr>
            <m:num>
              <m:r>
                <m:t>N</m:t>
              </m:r>
              <m:r>
                <m:t>I</m:t>
              </m:r>
            </m:num>
            <m:den>
              <m:sSub>
                <m:e>
                  <m:r>
                    <m:rPr>
                      <m:sty m:val="p"/>
                      <m:scr m:val="script"/>
                    </m:rPr>
                    <m:t>R</m:t>
                  </m:r>
                </m:e>
                <m:sub>
                  <m:r>
                    <m:t>m</m:t>
                  </m:r>
                </m:sub>
              </m:sSub>
            </m:den>
          </m:f>
          <m:r>
            <m:t>  </m:t>
          </m:r>
          <m:d>
            <m:dPr>
              <m:begChr m:val="("/>
              <m:endChr m:val=")"/>
              <m:sepChr m:val=""/>
              <m:grow/>
            </m:dPr>
            <m:e>
              <m:r>
                <m:t>8</m:t>
              </m:r>
            </m:e>
          </m:d>
        </m:oMath>
      </m:oMathPara>
    </w:p>
    <w:p>
      <w:pPr>
        <w:pStyle w:val="FirstParagraph"/>
      </w:pPr>
      <w:r>
        <w:t xml:space="preserve">若气隙磁阻占主导，</w:t>
      </w:r>
    </w:p>
    <w:p>
      <w:pPr>
        <w:pStyle w:val="BodyText"/>
      </w:pPr>
      <m:oMathPara>
        <m:oMathParaPr>
          <m:jc m:val="center"/>
        </m:oMathParaPr>
        <m:oMath>
          <m:sSub>
            <m:e>
              <m:r>
                <m:rPr>
                  <m:sty m:val="p"/>
                  <m:scr m:val="script"/>
                </m:rPr>
                <m:t>R</m:t>
              </m:r>
            </m:e>
            <m:sub>
              <m:r>
                <m:t>g</m:t>
              </m:r>
            </m:sub>
          </m:sSub>
          <m:r>
            <m:rPr>
              <m:sty m:val="p"/>
            </m:rPr>
            <m:t>≈</m:t>
          </m:r>
          <m:f>
            <m:fPr>
              <m:type m:val="bar"/>
            </m:fPr>
            <m:num>
              <m:r>
                <m:t>g</m:t>
              </m:r>
            </m:num>
            <m:den>
              <m:sSub>
                <m:e>
                  <m:r>
                    <m:t>μ</m:t>
                  </m:r>
                </m:e>
                <m:sub>
                  <m:r>
                    <m:t>0</m:t>
                  </m:r>
                </m:sub>
              </m:sSub>
              <m:sSub>
                <m:e>
                  <m:r>
                    <m:t>A</m:t>
                  </m:r>
                </m:e>
                <m:sub>
                  <m:r>
                    <m:t>g</m:t>
                  </m:r>
                </m:sub>
              </m:sSub>
            </m:den>
          </m:f>
          <m:r>
            <m:t>  </m:t>
          </m:r>
          <m:d>
            <m:dPr>
              <m:begChr m:val="("/>
              <m:endChr m:val=")"/>
              <m:sepChr m:val=""/>
              <m:grow/>
            </m:dPr>
            <m:e>
              <m:r>
                <m:t>9</m:t>
              </m:r>
            </m:e>
          </m:d>
        </m:oMath>
      </m:oMathPara>
    </w:p>
    <w:p>
      <w:pPr>
        <w:pStyle w:val="FirstParagraph"/>
      </w:pPr>
      <w:r>
        <w:t xml:space="preserve">在气隙场近似均匀、边缘效应较小且铁磁材料未严重饱和时，气隙吸力可用 Maxwell 应力近似为</w:t>
      </w:r>
    </w:p>
    <w:p>
      <w:pPr>
        <w:pStyle w:val="BodyText"/>
      </w:pPr>
      <m:oMathPara>
        <m:oMathParaPr>
          <m:jc m:val="center"/>
        </m:oMathParaPr>
        <m:oMath>
          <m:sSub>
            <m:e>
              <m:r>
                <m:t>F</m:t>
              </m:r>
            </m:e>
            <m:sub>
              <m:r>
                <m:t>e</m:t>
              </m:r>
            </m:sub>
          </m:sSub>
          <m:r>
            <m:rPr>
              <m:sty m:val="p"/>
            </m:rPr>
            <m:t>≈</m:t>
          </m:r>
          <m:f>
            <m:fPr>
              <m:type m:val="bar"/>
            </m:fPr>
            <m:num>
              <m:sSubSup>
                <m:e>
                  <m:r>
                    <m:t>B</m:t>
                  </m:r>
                </m:e>
                <m:sub>
                  <m:r>
                    <m:t>g</m:t>
                  </m:r>
                </m:sub>
                <m:sup>
                  <m:r>
                    <m:t>2</m:t>
                  </m:r>
                </m:sup>
              </m:sSubSup>
              <m:sSub>
                <m:e>
                  <m:r>
                    <m:t>A</m:t>
                  </m:r>
                </m:e>
                <m:sub>
                  <m:r>
                    <m:t>g</m:t>
                  </m:r>
                </m:sub>
              </m:sSub>
            </m:num>
            <m:den>
              <m:r>
                <m:t>2</m:t>
              </m:r>
              <m:sSub>
                <m:e>
                  <m:r>
                    <m:t>μ</m:t>
                  </m:r>
                </m:e>
                <m:sub>
                  <m:r>
                    <m:t>0</m:t>
                  </m:r>
                </m:sub>
              </m:sSub>
            </m:den>
          </m:f>
          <m:r>
            <m:t>  </m:t>
          </m:r>
          <m:d>
            <m:dPr>
              <m:begChr m:val="("/>
              <m:endChr m:val=")"/>
              <m:sepChr m:val=""/>
              <m:grow/>
            </m:dPr>
            <m:e>
              <m:r>
                <m:t>10</m:t>
              </m:r>
            </m:e>
          </m:d>
        </m:oMath>
      </m:oMathPara>
    </w:p>
    <w:p>
      <w:pPr>
        <w:pStyle w:val="FirstParagraph"/>
      </w:pPr>
      <w:r>
        <w:t xml:space="preserve">式（10）主要用于趋势判断。实际装置存在漏磁、边缘磁通、磁滞和饱和，工程计算应以实测力—位移特性或有限元结果修正。</w:t>
      </w:r>
    </w:p>
    <w:bookmarkEnd w:id="45"/>
    <w:bookmarkStart w:id="46" w:name="磁共能与位置相关电感"/>
    <w:p>
      <w:pPr>
        <w:pStyle w:val="Heading2"/>
      </w:pPr>
      <w:r>
        <w:t xml:space="preserve">5.2 磁共能与位置相关电感</w:t>
      </w:r>
    </w:p>
    <w:p>
      <w:pPr>
        <w:pStyle w:val="FirstParagraph"/>
      </w:pPr>
      <w:r>
        <w:t xml:space="preserve">更一般的电磁力表达应从磁共能出发[1-2]：</w:t>
      </w:r>
    </w:p>
    <w:p>
      <w:pPr>
        <w:pStyle w:val="BodyText"/>
      </w:pPr>
      <m:oMathPara>
        <m:oMathParaPr>
          <m:jc m:val="center"/>
        </m:oMathParaPr>
        <m:oMath>
          <m:sSub>
            <m:e>
              <m:r>
                <m:t>F</m:t>
              </m:r>
            </m:e>
            <m:sub>
              <m:r>
                <m:t>e</m:t>
              </m:r>
            </m:sub>
          </m:sSub>
          <m:d>
            <m:dPr>
              <m:begChr m:val="("/>
              <m:endChr m:val=")"/>
              <m:sepChr m:val=""/>
              <m:grow/>
            </m:dPr>
            <m:e>
              <m:r>
                <m:t>i</m:t>
              </m:r>
              <m:r>
                <m:rPr>
                  <m:sty m:val="p"/>
                </m:rPr>
                <m:t>,</m:t>
              </m:r>
              <m:r>
                <m:t>x</m:t>
              </m:r>
            </m:e>
          </m:d>
          <m:r>
            <m:rPr>
              <m:sty m:val="p"/>
            </m:rPr>
            <m:t>=</m:t>
          </m:r>
          <m:sSub>
            <m:e>
              <m:d>
                <m:dPr>
                  <m:begChr m:val=""/>
                  <m:endChr m:val="|"/>
                  <m:sepChr m:val=""/>
                  <m:grow/>
                </m:dPr>
                <m:e>
                  <m:f>
                    <m:fPr>
                      <m:type m:val="bar"/>
                    </m:fPr>
                    <m:num>
                      <m:r>
                        <m:rPr>
                          <m:sty m:val="p"/>
                        </m:rPr>
                        <m:t>∂</m:t>
                      </m:r>
                      <m:sSub>
                        <m:e>
                          <m:r>
                            <m:t>W</m:t>
                          </m:r>
                        </m:e>
                        <m:sub>
                          <m:r>
                            <m:t>m</m:t>
                          </m:r>
                        </m:sub>
                      </m:sSub>
                      <m:r>
                        <m:rPr>
                          <m:sty m:val="p"/>
                        </m:rPr>
                        <m:t>′</m:t>
                      </m:r>
                      <m:d>
                        <m:dPr>
                          <m:begChr m:val="("/>
                          <m:endChr m:val=")"/>
                          <m:sepChr m:val=""/>
                          <m:grow/>
                        </m:dPr>
                        <m:e>
                          <m:r>
                            <m:t>i</m:t>
                          </m:r>
                          <m:r>
                            <m:rPr>
                              <m:sty m:val="p"/>
                            </m:rPr>
                            <m:t>,</m:t>
                          </m:r>
                          <m:r>
                            <m:t>x</m:t>
                          </m:r>
                        </m:e>
                      </m:d>
                    </m:num>
                    <m:den>
                      <m:r>
                        <m:rPr>
                          <m:sty m:val="p"/>
                        </m:rPr>
                        <m:t>∂</m:t>
                      </m:r>
                      <m:r>
                        <m:t>x</m:t>
                      </m:r>
                    </m:den>
                  </m:f>
                </m:e>
              </m:d>
            </m:e>
            <m:sub>
              <m:r>
                <m:t>i</m:t>
              </m:r>
            </m:sub>
          </m:sSub>
          <m:r>
            <m:t>  </m:t>
          </m:r>
          <m:d>
            <m:dPr>
              <m:begChr m:val="("/>
              <m:endChr m:val=")"/>
              <m:sepChr m:val=""/>
              <m:grow/>
            </m:dPr>
            <m:e>
              <m:r>
                <m:t>11</m:t>
              </m:r>
            </m:e>
          </m:d>
        </m:oMath>
      </m:oMathPara>
    </w:p>
    <w:p>
      <w:pPr>
        <w:pStyle w:val="FirstParagraph"/>
      </w:pPr>
      <w:r>
        <w:t xml:space="preserve">在线性磁路近似且</w:t>
      </w:r>
      <w:r>
        <w:t xml:space="preserve"> </w:t>
      </w:r>
      <m:oMath>
        <m:r>
          <m:t>λ</m:t>
        </m:r>
        <m:r>
          <m:rPr>
            <m:sty m:val="p"/>
          </m:rPr>
          <m:t>=</m:t>
        </m:r>
        <m:r>
          <m:t>L</m:t>
        </m:r>
        <m:d>
          <m:dPr>
            <m:begChr m:val="("/>
            <m:endChr m:val=")"/>
            <m:sepChr m:val=""/>
            <m:grow/>
          </m:dPr>
          <m:e>
            <m:r>
              <m:t>x</m:t>
            </m:r>
          </m:e>
        </m:d>
        <m:r>
          <m:t>i</m:t>
        </m:r>
      </m:oMath>
      <w:r>
        <w:t xml:space="preserve"> </w:t>
      </w:r>
      <w:r>
        <w:t xml:space="preserve">时，</w:t>
      </w:r>
    </w:p>
    <w:p>
      <w:pPr>
        <w:pStyle w:val="BodyText"/>
      </w:pPr>
      <m:oMathPara>
        <m:oMathParaPr>
          <m:jc m:val="center"/>
        </m:oMathParaPr>
        <m:oMath>
          <m:sSub>
            <m:e>
              <m:r>
                <m:t>W</m:t>
              </m:r>
            </m:e>
            <m:sub>
              <m:r>
                <m:t>m</m:t>
              </m:r>
            </m:sub>
          </m:sSub>
          <m:r>
            <m:rPr>
              <m:sty m:val="p"/>
            </m:rPr>
            <m:t>′</m:t>
          </m:r>
          <m:d>
            <m:dPr>
              <m:begChr m:val="("/>
              <m:endChr m:val=")"/>
              <m:sepChr m:val=""/>
              <m:grow/>
            </m:dPr>
            <m:e>
              <m:r>
                <m:t>i</m:t>
              </m:r>
              <m:r>
                <m:rPr>
                  <m:sty m:val="p"/>
                </m:rPr>
                <m:t>,</m:t>
              </m:r>
              <m:r>
                <m:t>x</m:t>
              </m:r>
            </m:e>
          </m:d>
          <m:r>
            <m:rPr>
              <m:sty m:val="p"/>
            </m:rPr>
            <m:t>=</m:t>
          </m:r>
          <m:f>
            <m:fPr>
              <m:type m:val="bar"/>
            </m:fPr>
            <m:num>
              <m:r>
                <m:t>1</m:t>
              </m:r>
            </m:num>
            <m:den>
              <m:r>
                <m:t>2</m:t>
              </m:r>
            </m:den>
          </m:f>
          <m:r>
            <m:t>L</m:t>
          </m:r>
          <m:d>
            <m:dPr>
              <m:begChr m:val="("/>
              <m:endChr m:val=")"/>
              <m:sepChr m:val=""/>
              <m:grow/>
            </m:dPr>
            <m:e>
              <m:r>
                <m:t>x</m:t>
              </m:r>
            </m:e>
          </m:d>
          <m:sSup>
            <m:e>
              <m:r>
                <m:t>i</m:t>
              </m:r>
            </m:e>
            <m:sup>
              <m:r>
                <m:t>2</m:t>
              </m:r>
            </m:sup>
          </m:sSup>
          <m:r>
            <m:t>  </m:t>
          </m:r>
          <m:d>
            <m:dPr>
              <m:begChr m:val="("/>
              <m:endChr m:val=")"/>
              <m:sepChr m:val=""/>
              <m:grow/>
            </m:dPr>
            <m:e>
              <m:r>
                <m:t>12</m:t>
              </m:r>
            </m:e>
          </m:d>
        </m:oMath>
      </m:oMathPara>
    </w:p>
    <w:p>
      <w:pPr>
        <w:pStyle w:val="FirstParagraph"/>
      </w:pPr>
      <w:r>
        <w:t xml:space="preserve">因此</w:t>
      </w:r>
    </w:p>
    <w:p>
      <w:pPr>
        <w:pStyle w:val="BodyText"/>
      </w:pPr>
      <m:oMathPara>
        <m:oMathParaPr>
          <m:jc m:val="center"/>
        </m:oMathParaPr>
        <m:oMath>
          <m:sSub>
            <m:e>
              <m:r>
                <m:t>F</m:t>
              </m:r>
            </m:e>
            <m:sub>
              <m:r>
                <m:t>e</m:t>
              </m:r>
            </m:sub>
          </m:sSub>
          <m:r>
            <m:rPr>
              <m:sty m:val="p"/>
            </m:rPr>
            <m:t>=</m:t>
          </m:r>
          <m:f>
            <m:fPr>
              <m:type m:val="bar"/>
            </m:fPr>
            <m:num>
              <m:r>
                <m:t>1</m:t>
              </m:r>
            </m:num>
            <m:den>
              <m:r>
                <m:t>2</m:t>
              </m:r>
            </m:den>
          </m:f>
          <m:sSup>
            <m:e>
              <m:r>
                <m:t>i</m:t>
              </m:r>
            </m:e>
            <m:sup>
              <m:r>
                <m:t>2</m:t>
              </m:r>
            </m:sup>
          </m:sSup>
          <m:f>
            <m:fPr>
              <m:type m:val="bar"/>
            </m:fPr>
            <m:num>
              <m:r>
                <m:rPr>
                  <m:sty m:val="p"/>
                </m:rPr>
                <m:t>d</m:t>
              </m:r>
              <m:r>
                <m:t>L</m:t>
              </m:r>
              <m:d>
                <m:dPr>
                  <m:begChr m:val="("/>
                  <m:endChr m:val=")"/>
                  <m:sepChr m:val=""/>
                  <m:grow/>
                </m:dPr>
                <m:e>
                  <m:r>
                    <m:t>x</m:t>
                  </m:r>
                </m:e>
              </m:d>
            </m:num>
            <m:den>
              <m:r>
                <m:rPr>
                  <m:sty m:val="p"/>
                </m:rPr>
                <m:t>d</m:t>
              </m:r>
              <m:r>
                <m:t>x</m:t>
              </m:r>
            </m:den>
          </m:f>
          <m:r>
            <m:t>  </m:t>
          </m:r>
          <m:d>
            <m:dPr>
              <m:begChr m:val="("/>
              <m:endChr m:val=")"/>
              <m:sepChr m:val=""/>
              <m:grow/>
            </m:dPr>
            <m:e>
              <m:r>
                <m:t>13</m:t>
              </m:r>
            </m:e>
          </m:d>
        </m:oMath>
      </m:oMathPara>
    </w:p>
    <w:p>
      <w:pPr>
        <w:pStyle w:val="FirstParagraph"/>
      </w:pPr>
      <w:r>
        <w:t xml:space="preserve">若定义</w:t>
      </w:r>
      <w:r>
        <w:t xml:space="preserve"> </w:t>
      </w:r>
      <m:oMath>
        <m:r>
          <m:t>x</m:t>
        </m:r>
      </m:oMath>
      <w:r>
        <w:t xml:space="preserve"> </w:t>
      </w:r>
      <w:r>
        <w:t xml:space="preserve">朝气隙减小方向为正，则电磁力趋向于使电感增大；若采用相反的坐标方向，力的符号也应随之改变。</w:t>
      </w:r>
    </w:p>
    <w:bookmarkEnd w:id="46"/>
    <w:bookmarkStart w:id="47" w:name="线圈电气动态"/>
    <w:p>
      <w:pPr>
        <w:pStyle w:val="Heading2"/>
      </w:pPr>
      <w:r>
        <w:t xml:space="preserve">5.3 线圈电气动态</w:t>
      </w:r>
    </w:p>
    <w:p>
      <w:pPr>
        <w:pStyle w:val="FirstParagraph"/>
      </w:pPr>
      <w:r>
        <w:t xml:space="preserve">线圈端电压的普遍关系是</w:t>
      </w:r>
    </w:p>
    <w:p>
      <w:pPr>
        <w:pStyle w:val="BodyText"/>
      </w:pPr>
      <m:oMathPara>
        <m:oMathParaPr>
          <m:jc m:val="center"/>
        </m:oMathParaPr>
        <m:oMath>
          <m:r>
            <m:t>u</m:t>
          </m:r>
          <m:r>
            <m:rPr>
              <m:sty m:val="p"/>
            </m:rPr>
            <m:t>=</m:t>
          </m:r>
          <m:r>
            <m:t>R</m:t>
          </m:r>
          <m:r>
            <m:t>i</m:t>
          </m:r>
          <m:r>
            <m:rPr>
              <m:sty m:val="p"/>
            </m:rPr>
            <m:t>+</m:t>
          </m:r>
          <m:f>
            <m:fPr>
              <m:type m:val="bar"/>
            </m:fPr>
            <m:num>
              <m:r>
                <m:rPr>
                  <m:sty m:val="p"/>
                </m:rPr>
                <m:t>d</m:t>
              </m:r>
              <m:r>
                <m:t>λ</m:t>
              </m:r>
              <m:d>
                <m:dPr>
                  <m:begChr m:val="("/>
                  <m:endChr m:val=")"/>
                  <m:sepChr m:val=""/>
                  <m:grow/>
                </m:dPr>
                <m:e>
                  <m:r>
                    <m:t>i</m:t>
                  </m:r>
                  <m:r>
                    <m:rPr>
                      <m:sty m:val="p"/>
                    </m:rPr>
                    <m:t>,</m:t>
                  </m:r>
                  <m:r>
                    <m:t>x</m:t>
                  </m:r>
                </m:e>
              </m:d>
            </m:num>
            <m:den>
              <m:r>
                <m:rPr>
                  <m:sty m:val="p"/>
                </m:rPr>
                <m:t>d</m:t>
              </m:r>
              <m:r>
                <m:t>t</m:t>
              </m:r>
            </m:den>
          </m:f>
          <m:r>
            <m:t>  </m:t>
          </m:r>
          <m:d>
            <m:dPr>
              <m:begChr m:val="("/>
              <m:endChr m:val=")"/>
              <m:sepChr m:val=""/>
              <m:grow/>
            </m:dPr>
            <m:e>
              <m:r>
                <m:t>14</m:t>
              </m:r>
            </m:e>
          </m:d>
        </m:oMath>
      </m:oMathPara>
    </w:p>
    <w:p>
      <w:pPr>
        <w:pStyle w:val="FirstParagraph"/>
      </w:pPr>
      <w:r>
        <w:t xml:space="preserve">若某一工作区间可近似取</w:t>
      </w:r>
      <w:r>
        <w:t xml:space="preserve"> </w:t>
      </w:r>
      <m:oMath>
        <m:r>
          <m:t>λ</m:t>
        </m:r>
        <m:r>
          <m:rPr>
            <m:sty m:val="p"/>
          </m:rPr>
          <m:t>=</m:t>
        </m:r>
        <m:r>
          <m:t>L</m:t>
        </m:r>
        <m:d>
          <m:dPr>
            <m:begChr m:val="("/>
            <m:endChr m:val=")"/>
            <m:sepChr m:val=""/>
            <m:grow/>
          </m:dPr>
          <m:e>
            <m:r>
              <m:t>x</m:t>
            </m:r>
          </m:e>
        </m:d>
        <m:r>
          <m:t>i</m:t>
        </m:r>
      </m:oMath>
      <w:r>
        <w:t xml:space="preserve">，则</w:t>
      </w:r>
    </w:p>
    <w:p>
      <w:pPr>
        <w:pStyle w:val="BodyText"/>
      </w:pPr>
      <m:oMathPara>
        <m:oMathParaPr>
          <m:jc m:val="center"/>
        </m:oMathParaPr>
        <m:oMath>
          <m:r>
            <m:t>u</m:t>
          </m:r>
          <m:r>
            <m:rPr>
              <m:sty m:val="p"/>
            </m:rPr>
            <m:t>=</m:t>
          </m:r>
          <m:r>
            <m:t>R</m:t>
          </m:r>
          <m:r>
            <m:t>i</m:t>
          </m:r>
          <m:r>
            <m:rPr>
              <m:sty m:val="p"/>
            </m:rPr>
            <m:t>+</m:t>
          </m:r>
          <m:r>
            <m:t>L</m:t>
          </m:r>
          <m:d>
            <m:dPr>
              <m:begChr m:val="("/>
              <m:endChr m:val=")"/>
              <m:sepChr m:val=""/>
              <m:grow/>
            </m:dPr>
            <m:e>
              <m:r>
                <m:t>x</m:t>
              </m:r>
            </m:e>
          </m:d>
          <m:f>
            <m:fPr>
              <m:type m:val="bar"/>
            </m:fPr>
            <m:num>
              <m:r>
                <m:rPr>
                  <m:sty m:val="p"/>
                </m:rPr>
                <m:t>d</m:t>
              </m:r>
              <m:r>
                <m:t>i</m:t>
              </m:r>
            </m:num>
            <m:den>
              <m:r>
                <m:rPr>
                  <m:sty m:val="p"/>
                </m:rPr>
                <m:t>d</m:t>
              </m:r>
              <m:r>
                <m:t>t</m:t>
              </m:r>
            </m:den>
          </m:f>
          <m:r>
            <m:rPr>
              <m:sty m:val="p"/>
            </m:rPr>
            <m:t>+</m:t>
          </m:r>
          <m:r>
            <m:t>i</m:t>
          </m:r>
          <m:f>
            <m:fPr>
              <m:type m:val="bar"/>
            </m:fPr>
            <m:num>
              <m:r>
                <m:rPr>
                  <m:sty m:val="p"/>
                </m:rPr>
                <m:t>d</m:t>
              </m:r>
              <m:r>
                <m:t>L</m:t>
              </m:r>
              <m:d>
                <m:dPr>
                  <m:begChr m:val="("/>
                  <m:endChr m:val=")"/>
                  <m:sepChr m:val=""/>
                  <m:grow/>
                </m:dPr>
                <m:e>
                  <m:r>
                    <m:t>x</m:t>
                  </m:r>
                </m:e>
              </m:d>
            </m:num>
            <m:den>
              <m:r>
                <m:rPr>
                  <m:sty m:val="p"/>
                </m:rPr>
                <m:t>d</m:t>
              </m:r>
              <m:r>
                <m:t>x</m:t>
              </m:r>
            </m:den>
          </m:f>
          <m:acc>
            <m:accPr>
              <m:chr m:val="̇"/>
            </m:accPr>
            <m:e>
              <m:r>
                <m:t>x</m:t>
              </m:r>
            </m:e>
          </m:acc>
          <m:r>
            <m:t>  </m:t>
          </m:r>
          <m:d>
            <m:dPr>
              <m:begChr m:val="("/>
              <m:endChr m:val=")"/>
              <m:sepChr m:val=""/>
              <m:grow/>
            </m:dPr>
            <m:e>
              <m:r>
                <m:t>15</m:t>
              </m:r>
            </m:e>
          </m:d>
        </m:oMath>
      </m:oMathPara>
    </w:p>
    <w:p>
      <w:pPr>
        <w:pStyle w:val="FirstParagraph"/>
      </w:pPr>
      <w:r>
        <w:t xml:space="preserve">其中第三项体现运动引起的反电动势。只有在衔铁位置基本不变、</w:t>
      </w:r>
      <m:oMath>
        <m:r>
          <m:t>L</m:t>
        </m:r>
      </m:oMath>
      <w:r>
        <w:t xml:space="preserve"> </w:t>
      </w:r>
      <w:r>
        <w:t xml:space="preserve">可视为常数时，才可简化为</w:t>
      </w:r>
    </w:p>
    <w:p>
      <w:pPr>
        <w:pStyle w:val="BodyText"/>
      </w:pPr>
      <m:oMathPara>
        <m:oMathParaPr>
          <m:jc m:val="center"/>
        </m:oMathParaPr>
        <m:oMath>
          <m:r>
            <m:t>u</m:t>
          </m:r>
          <m:r>
            <m:rPr>
              <m:sty m:val="p"/>
            </m:rPr>
            <m:t>=</m:t>
          </m:r>
          <m:r>
            <m:t>R</m:t>
          </m:r>
          <m:r>
            <m:t>i</m:t>
          </m:r>
          <m:r>
            <m:rPr>
              <m:sty m:val="p"/>
            </m:rPr>
            <m:t>+</m:t>
          </m:r>
          <m:r>
            <m:t>L</m:t>
          </m:r>
          <m:f>
            <m:fPr>
              <m:type m:val="bar"/>
            </m:fPr>
            <m:num>
              <m:r>
                <m:rPr>
                  <m:sty m:val="p"/>
                </m:rPr>
                <m:t>d</m:t>
              </m:r>
              <m:r>
                <m:t>i</m:t>
              </m:r>
            </m:num>
            <m:den>
              <m:r>
                <m:rPr>
                  <m:sty m:val="p"/>
                </m:rPr>
                <m:t>d</m:t>
              </m:r>
              <m:r>
                <m:t>t</m:t>
              </m:r>
            </m:den>
          </m:f>
          <m:r>
            <m:t>  </m:t>
          </m:r>
          <m:d>
            <m:dPr>
              <m:begChr m:val="("/>
              <m:endChr m:val=")"/>
              <m:sepChr m:val=""/>
              <m:grow/>
            </m:dPr>
            <m:e>
              <m:r>
                <m:t>16</m:t>
              </m:r>
            </m:e>
          </m:d>
        </m:oMath>
      </m:oMathPara>
    </w:p>
    <w:p>
      <w:pPr>
        <w:pStyle w:val="FirstParagraph"/>
      </w:pPr>
      <w:r>
        <w:t xml:space="preserve">在固定电感、直流阶跃电压</w:t>
      </w:r>
      <w:r>
        <w:t xml:space="preserve"> </w:t>
      </w:r>
      <m:oMath>
        <m:r>
          <m:t>U</m:t>
        </m:r>
      </m:oMath>
      <w:r>
        <w:t xml:space="preserve">、初始电流为0的条件下，</w:t>
      </w:r>
    </w:p>
    <w:p>
      <w:pPr>
        <w:pStyle w:val="BodyText"/>
      </w:pPr>
      <m:oMathPara>
        <m:oMathParaPr>
          <m:jc m:val="center"/>
        </m:oMathParaPr>
        <m:oMath>
          <m:r>
            <m:t>i</m:t>
          </m:r>
          <m:d>
            <m:dPr>
              <m:begChr m:val="("/>
              <m:endChr m:val=")"/>
              <m:sepChr m:val=""/>
              <m:grow/>
            </m:dPr>
            <m:e>
              <m:r>
                <m:t>t</m:t>
              </m:r>
            </m:e>
          </m:d>
          <m:r>
            <m:rPr>
              <m:sty m:val="p"/>
            </m:rPr>
            <m:t>=</m:t>
          </m:r>
          <m:f>
            <m:fPr>
              <m:type m:val="bar"/>
            </m:fPr>
            <m:num>
              <m:r>
                <m:t>U</m:t>
              </m:r>
            </m:num>
            <m:den>
              <m:r>
                <m:t>R</m:t>
              </m:r>
            </m:den>
          </m:f>
          <m:d>
            <m:dPr>
              <m:begChr m:val="("/>
              <m:endChr m:val=")"/>
              <m:sepChr m:val=""/>
              <m:grow/>
            </m:dPr>
            <m:e>
              <m:r>
                <m:t>1</m:t>
              </m:r>
              <m:r>
                <m:rPr>
                  <m:sty m:val="p"/>
                </m:rPr>
                <m:t>−</m:t>
              </m:r>
              <m:sSup>
                <m:e>
                  <m:r>
                    <m:t>e</m:t>
                  </m:r>
                </m:e>
                <m:sup>
                  <m:r>
                    <m:rPr>
                      <m:sty m:val="p"/>
                    </m:rPr>
                    <m:t>−</m:t>
                  </m:r>
                  <m:r>
                    <m:t>t</m:t>
                  </m:r>
                  <m:r>
                    <m:rPr>
                      <m:sty m:val="p"/>
                    </m:rPr>
                    <m:t>/</m:t>
                  </m:r>
                  <m:sSub>
                    <m:e>
                      <m:r>
                        <m:t>τ</m:t>
                      </m:r>
                    </m:e>
                    <m:sub>
                      <m:r>
                        <m:t>e</m:t>
                      </m:r>
                    </m:sub>
                  </m:sSub>
                </m:sup>
              </m:sSup>
            </m:e>
          </m:d>
          <m:r>
            <m:rPr>
              <m:sty m:val="p"/>
            </m:rPr>
            <m:t>,</m:t>
          </m:r>
          <m:r>
            <m:t>  </m:t>
          </m:r>
          <m:sSub>
            <m:e>
              <m:r>
                <m:t>τ</m:t>
              </m:r>
            </m:e>
            <m:sub>
              <m:r>
                <m:t>e</m:t>
              </m:r>
            </m:sub>
          </m:sSub>
          <m:r>
            <m:rPr>
              <m:sty m:val="p"/>
            </m:rPr>
            <m:t>=</m:t>
          </m:r>
          <m:f>
            <m:fPr>
              <m:type m:val="bar"/>
            </m:fPr>
            <m:num>
              <m:r>
                <m:t>L</m:t>
              </m:r>
            </m:num>
            <m:den>
              <m:r>
                <m:t>R</m:t>
              </m:r>
            </m:den>
          </m:f>
          <m:r>
            <m:t>  </m:t>
          </m:r>
          <m:d>
            <m:dPr>
              <m:begChr m:val="("/>
              <m:endChr m:val=")"/>
              <m:sepChr m:val=""/>
              <m:grow/>
            </m:dPr>
            <m:e>
              <m:r>
                <m:t>17</m:t>
              </m:r>
            </m:e>
          </m:d>
        </m:oMath>
      </m:oMathPara>
    </w:p>
    <w:p>
      <w:pPr>
        <w:pStyle w:val="FirstParagraph"/>
      </w:pPr>
      <w:r>
        <w:t xml:space="preserve">上述关系说明：电磁铁动作存在电流建立过程，不能把扳机信号出现的时刻等同于机械动作立即发生的时刻。</w:t>
      </w:r>
    </w:p>
    <w:bookmarkEnd w:id="47"/>
    <w:bookmarkStart w:id="51" w:name="机械运动与热过程"/>
    <w:p>
      <w:pPr>
        <w:pStyle w:val="Heading2"/>
      </w:pPr>
      <w:r>
        <w:t xml:space="preserve">5.4 机械运动与热过程</w:t>
      </w:r>
    </w:p>
    <w:p>
      <w:pPr>
        <w:pStyle w:val="FirstParagraph"/>
      </w:pPr>
      <w:r>
        <w:t xml:space="preserve">将动铁芯和连接件等效为单自由度系统，可写为</w:t>
      </w:r>
    </w:p>
    <w:p>
      <w:pPr>
        <w:pStyle w:val="BodyText"/>
      </w:pPr>
      <m:oMathPara>
        <m:oMathParaPr>
          <m:jc m:val="center"/>
        </m:oMathParaPr>
        <m:oMath>
          <m:r>
            <m:t>m</m:t>
          </m:r>
          <m:acc>
            <m:accPr>
              <m:chr m:val="̈"/>
            </m:accPr>
            <m:e>
              <m:r>
                <m:t>x</m:t>
              </m:r>
            </m:e>
          </m:acc>
          <m:r>
            <m:rPr>
              <m:sty m:val="p"/>
            </m:rPr>
            <m:t>=</m:t>
          </m:r>
          <m:sSub>
            <m:e>
              <m:r>
                <m:t>F</m:t>
              </m:r>
            </m:e>
            <m:sub>
              <m:r>
                <m:t>e</m:t>
              </m:r>
            </m:sub>
          </m:sSub>
          <m:d>
            <m:dPr>
              <m:begChr m:val="("/>
              <m:endChr m:val=")"/>
              <m:sepChr m:val=""/>
              <m:grow/>
            </m:dPr>
            <m:e>
              <m:r>
                <m:t>i</m:t>
              </m:r>
              <m:r>
                <m:rPr>
                  <m:sty m:val="p"/>
                </m:rPr>
                <m:t>,</m:t>
              </m:r>
              <m:r>
                <m:t>x</m:t>
              </m:r>
            </m:e>
          </m:d>
          <m:r>
            <m:rPr>
              <m:sty m:val="p"/>
            </m:rPr>
            <m:t>−</m:t>
          </m:r>
          <m:r>
            <m:t>c</m:t>
          </m:r>
          <m:acc>
            <m:accPr>
              <m:chr m:val="̇"/>
            </m:accPr>
            <m:e>
              <m:r>
                <m:t>x</m:t>
              </m:r>
            </m:e>
          </m:acc>
          <m:r>
            <m:rPr>
              <m:sty m:val="p"/>
            </m:rPr>
            <m:t>−</m:t>
          </m:r>
          <m:r>
            <m:t>k</m:t>
          </m:r>
          <m:d>
            <m:dPr>
              <m:begChr m:val="("/>
              <m:endChr m:val=")"/>
              <m:sepChr m:val=""/>
              <m:grow/>
            </m:dPr>
            <m:e>
              <m:r>
                <m:t>x</m:t>
              </m:r>
              <m:r>
                <m:rPr>
                  <m:sty m:val="p"/>
                </m:rPr>
                <m:t>−</m:t>
              </m:r>
              <m:sSub>
                <m:e>
                  <m:r>
                    <m:t>x</m:t>
                  </m:r>
                </m:e>
                <m:sub>
                  <m:r>
                    <m:t>0</m:t>
                  </m:r>
                </m:sub>
              </m:sSub>
            </m:e>
          </m:d>
          <m:r>
            <m:rPr>
              <m:sty m:val="p"/>
            </m:rPr>
            <m:t>−</m:t>
          </m:r>
          <m:sSub>
            <m:e>
              <m:r>
                <m:t>F</m:t>
              </m:r>
            </m:e>
            <m:sub>
              <m:r>
                <m:t>f</m:t>
              </m:r>
            </m:sub>
          </m:sSub>
          <m:d>
            <m:dPr>
              <m:begChr m:val="("/>
              <m:endChr m:val=")"/>
              <m:sepChr m:val=""/>
              <m:grow/>
            </m:dPr>
            <m:e>
              <m:acc>
                <m:accPr>
                  <m:chr m:val="̇"/>
                </m:accPr>
                <m:e>
                  <m:r>
                    <m:t>x</m:t>
                  </m:r>
                </m:e>
              </m:acc>
            </m:e>
          </m:d>
          <m:r>
            <m:rPr>
              <m:sty m:val="p"/>
            </m:rPr>
            <m:t>−</m:t>
          </m:r>
          <m:sSub>
            <m:e>
              <m:r>
                <m:t>F</m:t>
              </m:r>
            </m:e>
            <m:sub>
              <m:r>
                <m:t>L</m:t>
              </m:r>
            </m:sub>
          </m:sSub>
          <m:r>
            <m:t>  </m:t>
          </m:r>
          <m:d>
            <m:dPr>
              <m:begChr m:val="("/>
              <m:endChr m:val=")"/>
              <m:sepChr m:val=""/>
              <m:grow/>
            </m:dPr>
            <m:e>
              <m:r>
                <m:t>18</m:t>
              </m:r>
            </m:e>
          </m:d>
        </m:oMath>
      </m:oMathPara>
    </w:p>
    <w:p>
      <w:pPr>
        <w:pStyle w:val="FirstParagraph"/>
      </w:pPr>
      <w:r>
        <w:t xml:space="preserve">其中，</w:t>
      </w:r>
      <m:oMath>
        <m:r>
          <m:t>m</m:t>
        </m:r>
      </m:oMath>
      <w:r>
        <w:t xml:space="preserve"> </w:t>
      </w:r>
      <w:r>
        <w:t xml:space="preserve">为等效运动质量，</w:t>
      </w:r>
      <m:oMath>
        <m:r>
          <m:t>c</m:t>
        </m:r>
      </m:oMath>
      <w:r>
        <w:t xml:space="preserve"> </w:t>
      </w:r>
      <w:r>
        <w:t xml:space="preserve">为等效阻尼，</w:t>
      </w:r>
      <m:oMath>
        <m:r>
          <m:t>k</m:t>
        </m:r>
      </m:oMath>
      <w:r>
        <w:t xml:space="preserve"> </w:t>
      </w:r>
      <w:r>
        <w:t xml:space="preserve">为复位弹簧刚度，</w:t>
      </w:r>
      <m:oMath>
        <m:sSub>
          <m:e>
            <m:r>
              <m:t>F</m:t>
            </m:r>
          </m:e>
          <m:sub>
            <m:r>
              <m:t>f</m:t>
            </m:r>
          </m:sub>
        </m:sSub>
      </m:oMath>
      <w:r>
        <w:t xml:space="preserve"> </w:t>
      </w:r>
      <w:r>
        <w:t xml:space="preserve">为摩擦力，</w:t>
      </w:r>
      <m:oMath>
        <m:sSub>
          <m:e>
            <m:r>
              <m:t>F</m:t>
            </m:r>
          </m:e>
          <m:sub>
            <m:r>
              <m:t>L</m:t>
            </m:r>
          </m:sub>
        </m:sSub>
      </m:oMath>
      <w:r>
        <w:t xml:space="preserve"> </w:t>
      </w:r>
      <w:r>
        <w:t xml:space="preserve">为外部负载。该式适用于宏观位移阶段；若存在刚性撞击，还需要加入接触模型。</w:t>
      </w:r>
    </w:p>
    <w:p>
      <w:pPr>
        <w:pStyle w:val="BodyText"/>
      </w:pPr>
      <w:r>
        <w:t xml:space="preserve">线圈铜耗宜按有效值计算：</w:t>
      </w:r>
    </w:p>
    <w:p>
      <w:pPr>
        <w:pStyle w:val="BodyText"/>
      </w:pPr>
      <m:oMathPara>
        <m:oMathParaPr>
          <m:jc m:val="center"/>
        </m:oMathParaPr>
        <m:oMath>
          <m:sSub>
            <m:e>
              <m:r>
                <m:t>P</m:t>
              </m:r>
            </m:e>
            <m:sub>
              <m:r>
                <m:t>C</m:t>
              </m:r>
              <m:r>
                <m:t>u</m:t>
              </m:r>
            </m:sub>
          </m:sSub>
          <m:r>
            <m:rPr>
              <m:sty m:val="p"/>
            </m:rPr>
            <m:t>=</m:t>
          </m:r>
          <m:sSubSup>
            <m:e>
              <m:r>
                <m:t>I</m:t>
              </m:r>
            </m:e>
            <m:sub>
              <m:r>
                <m:t>r</m:t>
              </m:r>
              <m:r>
                <m:t>m</m:t>
              </m:r>
              <m:r>
                <m:t>s</m:t>
              </m:r>
            </m:sub>
            <m:sup>
              <m:r>
                <m:t>2</m:t>
              </m:r>
            </m:sup>
          </m:sSubSup>
          <m:r>
            <m:t>R</m:t>
          </m:r>
          <m:d>
            <m:dPr>
              <m:begChr m:val="("/>
              <m:endChr m:val=")"/>
              <m:sepChr m:val=""/>
              <m:grow/>
            </m:dPr>
            <m:e>
              <m:r>
                <m:t>T</m:t>
              </m:r>
            </m:e>
          </m:d>
          <m:r>
            <m:t>  </m:t>
          </m:r>
          <m:d>
            <m:dPr>
              <m:begChr m:val="("/>
              <m:endChr m:val=")"/>
              <m:sepChr m:val=""/>
              <m:grow/>
            </m:dPr>
            <m:e>
              <m:r>
                <m:t>19</m:t>
              </m:r>
            </m:e>
          </m:d>
        </m:oMath>
      </m:oMathPara>
    </w:p>
    <w:p>
      <w:pPr>
        <w:pStyle w:val="FirstParagraph"/>
      </w:pPr>
      <w:r>
        <w:t xml:space="preserve">铜电阻随温度变化可近似为</w:t>
      </w:r>
    </w:p>
    <w:p>
      <w:pPr>
        <w:pStyle w:val="BodyText"/>
      </w:pPr>
      <m:oMathPara>
        <m:oMathParaPr>
          <m:jc m:val="center"/>
        </m:oMathParaPr>
        <m:oMath>
          <m:r>
            <m:t>R</m:t>
          </m:r>
          <m:d>
            <m:dPr>
              <m:begChr m:val="("/>
              <m:endChr m:val=")"/>
              <m:sepChr m:val=""/>
              <m:grow/>
            </m:dPr>
            <m:e>
              <m:r>
                <m:t>T</m:t>
              </m:r>
            </m:e>
          </m:d>
          <m:r>
            <m:rPr>
              <m:sty m:val="p"/>
            </m:rPr>
            <m:t>=</m:t>
          </m:r>
          <m:r>
            <m:t>R</m:t>
          </m:r>
          <m:d>
            <m:dPr>
              <m:begChr m:val="("/>
              <m:endChr m:val=")"/>
              <m:sepChr m:val=""/>
              <m:grow/>
            </m:dPr>
            <m:e>
              <m:sSub>
                <m:e>
                  <m:r>
                    <m:t>T</m:t>
                  </m:r>
                </m:e>
                <m:sub>
                  <m:r>
                    <m:t>0</m:t>
                  </m:r>
                </m:sub>
              </m:sSub>
            </m:e>
          </m:d>
          <m:d>
            <m:dPr>
              <m:begChr m:val="["/>
              <m:endChr m:val="]"/>
              <m:sepChr m:val=""/>
              <m:grow/>
            </m:dPr>
            <m:e>
              <m:r>
                <m:t>1</m:t>
              </m:r>
              <m:r>
                <m:rPr>
                  <m:sty m:val="p"/>
                </m:rPr>
                <m:t>+</m:t>
              </m:r>
              <m:sSub>
                <m:e>
                  <m:r>
                    <m:t>α</m:t>
                  </m:r>
                </m:e>
                <m:sub>
                  <m:r>
                    <m:t>C</m:t>
                  </m:r>
                  <m:r>
                    <m:t>u</m:t>
                  </m:r>
                </m:sub>
              </m:sSub>
              <m:d>
                <m:dPr>
                  <m:begChr m:val="("/>
                  <m:endChr m:val=")"/>
                  <m:sepChr m:val=""/>
                  <m:grow/>
                </m:dPr>
                <m:e>
                  <m:r>
                    <m:t>T</m:t>
                  </m:r>
                  <m:r>
                    <m:rPr>
                      <m:sty m:val="p"/>
                    </m:rPr>
                    <m:t>−</m:t>
                  </m:r>
                  <m:sSub>
                    <m:e>
                      <m:r>
                        <m:t>T</m:t>
                      </m:r>
                    </m:e>
                    <m:sub>
                      <m:r>
                        <m:t>0</m:t>
                      </m:r>
                    </m:sub>
                  </m:sSub>
                </m:e>
              </m:d>
            </m:e>
          </m:d>
          <m:r>
            <m:t>  </m:t>
          </m:r>
          <m:d>
            <m:dPr>
              <m:begChr m:val="("/>
              <m:endChr m:val=")"/>
              <m:sepChr m:val=""/>
              <m:grow/>
            </m:dPr>
            <m:e>
              <m:r>
                <m:t>20</m:t>
              </m:r>
            </m:e>
          </m:d>
        </m:oMath>
      </m:oMathPara>
    </w:p>
    <w:p>
      <w:pPr>
        <w:pStyle w:val="FirstParagraph"/>
      </w:pPr>
      <w:r>
        <w:t xml:space="preserve">若采用一阶集中参数热模型，</w:t>
      </w:r>
    </w:p>
    <w:p>
      <w:pPr>
        <w:pStyle w:val="BodyText"/>
      </w:pPr>
      <m:oMathPara>
        <m:oMathParaPr>
          <m:jc m:val="center"/>
        </m:oMathParaPr>
        <m:oMath>
          <m:sSub>
            <m:e>
              <m:r>
                <m:t>C</m:t>
              </m:r>
            </m:e>
            <m:sub>
              <m:r>
                <m:t>θ</m:t>
              </m:r>
            </m:sub>
          </m:sSub>
          <m:f>
            <m:fPr>
              <m:type m:val="bar"/>
            </m:fPr>
            <m:num>
              <m:r>
                <m:rPr>
                  <m:sty m:val="p"/>
                </m:rPr>
                <m:t>d</m:t>
              </m:r>
              <m:r>
                <m:t>T</m:t>
              </m:r>
            </m:num>
            <m:den>
              <m:r>
                <m:rPr>
                  <m:sty m:val="p"/>
                </m:rPr>
                <m:t>d</m:t>
              </m:r>
              <m:r>
                <m:t>t</m:t>
              </m:r>
            </m:den>
          </m:f>
          <m:r>
            <m:rPr>
              <m:sty m:val="p"/>
            </m:rPr>
            <m:t>=</m:t>
          </m:r>
          <m:sSub>
            <m:e>
              <m:r>
                <m:t>P</m:t>
              </m:r>
            </m:e>
            <m:sub>
              <m:r>
                <m:t>l</m:t>
              </m:r>
              <m:r>
                <m:t>o</m:t>
              </m:r>
              <m:r>
                <m:t>s</m:t>
              </m:r>
              <m:r>
                <m:t>s</m:t>
              </m:r>
            </m:sub>
          </m:sSub>
          <m:r>
            <m:rPr>
              <m:sty m:val="p"/>
            </m:rPr>
            <m:t>−</m:t>
          </m:r>
          <m:f>
            <m:fPr>
              <m:type m:val="bar"/>
            </m:fPr>
            <m:num>
              <m:r>
                <m:t>T</m:t>
              </m:r>
              <m:r>
                <m:rPr>
                  <m:sty m:val="p"/>
                </m:rPr>
                <m:t>−</m:t>
              </m:r>
              <m:sSub>
                <m:e>
                  <m:r>
                    <m:t>T</m:t>
                  </m:r>
                </m:e>
                <m:sub>
                  <m:r>
                    <m:t>a</m:t>
                  </m:r>
                </m:sub>
              </m:sSub>
            </m:num>
            <m:den>
              <m:sSub>
                <m:e>
                  <m:r>
                    <m:t>R</m:t>
                  </m:r>
                </m:e>
                <m:sub>
                  <m:r>
                    <m:t>θ</m:t>
                  </m:r>
                </m:sub>
              </m:sSub>
            </m:den>
          </m:f>
          <m:r>
            <m:t>  </m:t>
          </m:r>
          <m:d>
            <m:dPr>
              <m:begChr m:val="("/>
              <m:endChr m:val=")"/>
              <m:sepChr m:val=""/>
              <m:grow/>
            </m:dPr>
            <m:e>
              <m:r>
                <m:t>21</m:t>
              </m:r>
            </m:e>
          </m:d>
        </m:oMath>
      </m:oMathPara>
    </w:p>
    <w:p>
      <w:pPr>
        <w:pStyle w:val="FirstParagraph"/>
      </w:pPr>
      <w:r>
        <w:t xml:space="preserve">这说明高频连续动作会提高铜耗与温升，因此训练模型应设置合理占空比和过温保护。</w:t>
      </w:r>
    </w:p>
    <w:p>
      <w:pPr>
        <w:pStyle w:val="BodyText"/>
      </w:pPr>
      <w:r>
        <w:drawing>
          <wp:inline>
            <wp:extent cx="4053840" cy="1715561"/>
            <wp:effectExtent b="0" l="0" r="0" t="0"/>
            <wp:docPr descr="" title="" id="49" name="Picture"/>
            <a:graphic>
              <a:graphicData uri="http://schemas.openxmlformats.org/drawingml/2006/picture">
                <pic:pic>
                  <pic:nvPicPr>
                    <pic:cNvPr descr="/home/runner/work/codex-test/codex-test/artifacts/defense_book_assets/fig07_driver.png" id="50" name="Picture"/>
                    <pic:cNvPicPr>
                      <a:picLocks noChangeArrowheads="1" noChangeAspect="1"/>
                    </pic:cNvPicPr>
                  </pic:nvPicPr>
                  <pic:blipFill>
                    <a:blip r:embed="rId48"/>
                    <a:stretch>
                      <a:fillRect/>
                    </a:stretch>
                  </pic:blipFill>
                  <pic:spPr bwMode="auto">
                    <a:xfrm>
                      <a:off x="0" y="0"/>
                      <a:ext cx="4053840" cy="1715561"/>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图7　电磁线圈 MOSFET 驱动与关断保护示意</w:t>
      </w:r>
      <w:r>
        <w:rPr>
          <w:rFonts w:ascii="宋体" w:hAnsi="宋体" w:eastAsia="宋体"/>
          <w:sz w:val="19"/>
        </w:rPr>
        <w:br/>
      </w:r>
      <w:r>
        <w:rPr>
          <w:rFonts w:ascii="宋体" w:hAnsi="宋体" w:eastAsia="宋体"/>
          <w:sz w:val="19"/>
        </w:rPr>
        <w:t xml:space="preserve">图中续流二极管、TVS或其他钳位支路用于限制感性负载关断时的过电压。该图反映的是通用驱动原理，不等同于实物控制板的具体电路。</w:t>
      </w:r>
    </w:p>
    <w:bookmarkEnd w:id="51"/>
    <w:bookmarkEnd w:id="52"/>
    <w:bookmarkStart w:id="62" w:name="激光输出模块"/>
    <w:p>
      <w:pPr>
        <w:pStyle w:val="Heading1"/>
      </w:pPr>
      <w:r>
        <w:t xml:space="preserve">6 激光输出模块</w:t>
      </w:r>
    </w:p>
    <w:bookmarkStart w:id="56" w:name="结构与电光转换"/>
    <w:p>
      <w:pPr>
        <w:pStyle w:val="Heading2"/>
      </w:pPr>
      <w:r>
        <w:t xml:space="preserve">6.1 结构与电光转换</w:t>
      </w:r>
    </w:p>
    <w:p>
      <w:pPr>
        <w:pStyle w:val="FirstParagraph"/>
      </w:pPr>
      <w:r>
        <w:t xml:space="preserve">半导体激光模块通常由激光二极管、恒流驱动器、准直/整形透镜、安装座和出光窗口组成。对教学模型而言，激光输出更适合被理解为“方向性光学反馈”，而不是用于形成真实武器效应。</w:t>
      </w:r>
    </w:p>
    <w:p>
      <w:pPr>
        <w:pStyle w:val="BodyText"/>
      </w:pPr>
      <w:r>
        <w:drawing>
          <wp:inline>
            <wp:extent cx="4373880" cy="1558207"/>
            <wp:effectExtent b="0" l="0" r="0" t="0"/>
            <wp:docPr descr="" title="" id="54" name="Picture"/>
            <a:graphic>
              <a:graphicData uri="http://schemas.openxmlformats.org/drawingml/2006/picture">
                <pic:pic>
                  <pic:nvPicPr>
                    <pic:cNvPr descr="/home/runner/work/codex-test/codex-test/artifacts/defense_book_assets/fig08_laser.png" id="55" name="Picture"/>
                    <pic:cNvPicPr>
                      <a:picLocks noChangeArrowheads="1" noChangeAspect="1"/>
                    </pic:cNvPicPr>
                  </pic:nvPicPr>
                  <pic:blipFill>
                    <a:blip r:embed="rId53"/>
                    <a:stretch>
                      <a:fillRect/>
                    </a:stretch>
                  </pic:blipFill>
                  <pic:spPr bwMode="auto">
                    <a:xfrm>
                      <a:off x="0" y="0"/>
                      <a:ext cx="4373880" cy="1558207"/>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图8　半导体激光模块结构与准直光路</w:t>
      </w:r>
      <w:r>
        <w:rPr>
          <w:rFonts w:ascii="宋体" w:hAnsi="宋体" w:eastAsia="宋体"/>
          <w:sz w:val="19"/>
        </w:rPr>
        <w:br/>
      </w:r>
      <w:r>
        <w:rPr>
          <w:rFonts w:ascii="宋体" w:hAnsi="宋体" w:eastAsia="宋体"/>
          <w:sz w:val="19"/>
        </w:rPr>
        <w:t xml:space="preserve">该图综合第二份文档中的激光模块示意和“95式公式”文档中的无乱码版本。激光二极管原始输出具有发散性，需通过准直/整形光学件形成方向性光束。</w:t>
      </w:r>
    </w:p>
    <w:p>
      <w:pPr>
        <w:pStyle w:val="BodyText"/>
      </w:pPr>
      <w:r>
        <w:t xml:space="preserve">在阈值以上且工作区间不太宽时，半导体激光器的功率—电流关系可作线性近似[8]：</w:t>
      </w:r>
    </w:p>
    <w:p>
      <w:pPr>
        <w:pStyle w:val="BodyText"/>
      </w:pPr>
      <m:oMathPara>
        <m:oMathParaPr>
          <m:jc m:val="center"/>
        </m:oMathParaPr>
        <m:oMath>
          <m:sSub>
            <m:e>
              <m:r>
                <m:t>P</m:t>
              </m:r>
            </m:e>
            <m:sub>
              <m:r>
                <m:t>o</m:t>
              </m:r>
              <m:r>
                <m:t>p</m:t>
              </m:r>
              <m:r>
                <m:t>t</m:t>
              </m:r>
            </m:sub>
          </m:sSub>
          <m:r>
            <m:rPr>
              <m:sty m:val="p"/>
            </m:rPr>
            <m:t>≈</m:t>
          </m:r>
          <m:sSub>
            <m:e>
              <m:r>
                <m:t>η</m:t>
              </m:r>
            </m:e>
            <m:sub>
              <m:r>
                <m:t>s</m:t>
              </m:r>
            </m:sub>
          </m:sSub>
          <m:d>
            <m:dPr>
              <m:begChr m:val="("/>
              <m:endChr m:val=")"/>
              <m:sepChr m:val=""/>
              <m:grow/>
            </m:dPr>
            <m:e>
              <m:r>
                <m:t>I</m:t>
              </m:r>
              <m:r>
                <m:rPr>
                  <m:sty m:val="p"/>
                </m:rPr>
                <m:t>−</m:t>
              </m:r>
              <m:sSub>
                <m:e>
                  <m:r>
                    <m:t>I</m:t>
                  </m:r>
                </m:e>
                <m:sub>
                  <m:r>
                    <m:t>t</m:t>
                  </m:r>
                  <m:r>
                    <m:t>h</m:t>
                  </m:r>
                </m:sub>
              </m:sSub>
            </m:e>
          </m:d>
          <m:r>
            <m:rPr>
              <m:sty m:val="p"/>
            </m:rPr>
            <m:t>,</m:t>
          </m:r>
          <m:r>
            <m:t>  </m:t>
          </m:r>
          <m:r>
            <m:t>I</m:t>
          </m:r>
          <m:r>
            <m:rPr>
              <m:sty m:val="p"/>
            </m:rPr>
            <m:t>&gt;</m:t>
          </m:r>
          <m:sSub>
            <m:e>
              <m:r>
                <m:t>I</m:t>
              </m:r>
            </m:e>
            <m:sub>
              <m:r>
                <m:t>t</m:t>
              </m:r>
              <m:r>
                <m:t>h</m:t>
              </m:r>
            </m:sub>
          </m:sSub>
          <m:r>
            <m:t>  </m:t>
          </m:r>
          <m:d>
            <m:dPr>
              <m:begChr m:val="("/>
              <m:endChr m:val=")"/>
              <m:sepChr m:val=""/>
              <m:grow/>
            </m:dPr>
            <m:e>
              <m:r>
                <m:t>22</m:t>
              </m:r>
            </m:e>
          </m:d>
        </m:oMath>
      </m:oMathPara>
    </w:p>
    <w:p>
      <w:pPr>
        <w:pStyle w:val="FirstParagraph"/>
      </w:pPr>
      <w:r>
        <w:t xml:space="preserve">其中</w:t>
      </w:r>
      <w:r>
        <w:t xml:space="preserve"> </w:t>
      </w:r>
      <m:oMath>
        <m:sSub>
          <m:e>
            <m:r>
              <m:t>η</m:t>
            </m:r>
          </m:e>
          <m:sub>
            <m:r>
              <m:t>s</m:t>
            </m:r>
          </m:sub>
        </m:sSub>
        <m:r>
          <m:rPr>
            <m:sty m:val="p"/>
          </m:rPr>
          <m:t>=</m:t>
        </m:r>
        <m:r>
          <m:rPr>
            <m:sty m:val="p"/>
          </m:rPr>
          <m:t>d</m:t>
        </m:r>
        <m:sSub>
          <m:e>
            <m:r>
              <m:t>P</m:t>
            </m:r>
          </m:e>
          <m:sub>
            <m:r>
              <m:t>o</m:t>
            </m:r>
            <m:r>
              <m:t>p</m:t>
            </m:r>
            <m:r>
              <m:t>t</m:t>
            </m:r>
          </m:sub>
        </m:sSub>
        <m:r>
          <m:rPr>
            <m:sty m:val="p"/>
          </m:rPr>
          <m:t>/</m:t>
        </m:r>
        <m:r>
          <m:rPr>
            <m:sty m:val="p"/>
          </m:rPr>
          <m:t>d</m:t>
        </m:r>
        <m:r>
          <m:t>I</m:t>
        </m:r>
      </m:oMath>
      <w:r>
        <w:t xml:space="preserve"> </w:t>
      </w:r>
      <w:r>
        <w:t xml:space="preserve">为斜率效率，常用单位为 W/A，并非无量纲效率。电光转换效率可定义为</w:t>
      </w:r>
    </w:p>
    <w:p>
      <w:pPr>
        <w:pStyle w:val="BodyText"/>
      </w:pPr>
      <m:oMathPara>
        <m:oMathParaPr>
          <m:jc m:val="center"/>
        </m:oMathParaPr>
        <m:oMath>
          <m:sSub>
            <m:e>
              <m:r>
                <m:t>η</m:t>
              </m:r>
            </m:e>
            <m:sub>
              <m:r>
                <m:t>e</m:t>
              </m:r>
              <m:r>
                <m:t>o</m:t>
              </m:r>
            </m:sub>
          </m:sSub>
          <m:r>
            <m:rPr>
              <m:sty m:val="p"/>
            </m:rPr>
            <m:t>=</m:t>
          </m:r>
          <m:f>
            <m:fPr>
              <m:type m:val="bar"/>
            </m:fPr>
            <m:num>
              <m:sSub>
                <m:e>
                  <m:r>
                    <m:t>P</m:t>
                  </m:r>
                </m:e>
                <m:sub>
                  <m:r>
                    <m:t>o</m:t>
                  </m:r>
                  <m:r>
                    <m:t>p</m:t>
                  </m:r>
                  <m:r>
                    <m:t>t</m:t>
                  </m:r>
                </m:sub>
              </m:sSub>
            </m:num>
            <m:den>
              <m:sSub>
                <m:e>
                  <m:r>
                    <m:t>V</m:t>
                  </m:r>
                </m:e>
                <m:sub>
                  <m:r>
                    <m:t>f</m:t>
                  </m:r>
                </m:sub>
              </m:sSub>
              <m:r>
                <m:t>I</m:t>
              </m:r>
            </m:den>
          </m:f>
          <m:r>
            <m:t>  </m:t>
          </m:r>
          <m:d>
            <m:dPr>
              <m:begChr m:val="("/>
              <m:endChr m:val=")"/>
              <m:sepChr m:val=""/>
              <m:grow/>
            </m:dPr>
            <m:e>
              <m:r>
                <m:t>23</m:t>
              </m:r>
            </m:e>
          </m:d>
        </m:oMath>
      </m:oMathPara>
    </w:p>
    <w:p>
      <w:pPr>
        <w:pStyle w:val="FirstParagraph"/>
      </w:pPr>
      <w:r>
        <w:t xml:space="preserve">由于实物激光器的型号、波长和额定功率尚未确认，式（22）—（23）只用于解释基本物理关系，不用于反推出具体产品参数。</w:t>
      </w:r>
    </w:p>
    <w:bookmarkEnd w:id="56"/>
    <w:bookmarkStart w:id="60" w:name="高斯光束传播"/>
    <w:p>
      <w:pPr>
        <w:pStyle w:val="Heading2"/>
      </w:pPr>
      <w:r>
        <w:t xml:space="preserve">6.2 高斯光束传播</w:t>
      </w:r>
    </w:p>
    <w:p>
      <w:pPr>
        <w:pStyle w:val="FirstParagraph"/>
      </w:pPr>
      <w:r>
        <w:t xml:space="preserve">在近轴、基模高斯光束近似下，束腰位于</w:t>
      </w:r>
      <w:r>
        <w:t xml:space="preserve"> </w:t>
      </w:r>
      <m:oMath>
        <m:sSub>
          <m:e>
            <m:r>
              <m:t>z</m:t>
            </m:r>
          </m:e>
          <m:sub>
            <m:r>
              <m:t>0</m:t>
            </m:r>
          </m:sub>
        </m:sSub>
      </m:oMath>
      <w:r>
        <w:t xml:space="preserve"> </w:t>
      </w:r>
      <w:r>
        <w:t xml:space="preserve">处时，光束半径满足[9]：</w:t>
      </w:r>
    </w:p>
    <w:p>
      <w:pPr>
        <w:pStyle w:val="BodyText"/>
      </w:pPr>
      <m:oMathPara>
        <m:oMathParaPr>
          <m:jc m:val="center"/>
        </m:oMathParaPr>
        <m:oMath>
          <m:r>
            <m:t>w</m:t>
          </m:r>
          <m:d>
            <m:dPr>
              <m:begChr m:val="("/>
              <m:endChr m:val=")"/>
              <m:sepChr m:val=""/>
              <m:grow/>
            </m:dPr>
            <m:e>
              <m:r>
                <m:t>z</m:t>
              </m:r>
            </m:e>
          </m:d>
          <m:r>
            <m:rPr>
              <m:sty m:val="p"/>
            </m:rPr>
            <m:t>=</m:t>
          </m:r>
          <m:sSub>
            <m:e>
              <m:r>
                <m:t>w</m:t>
              </m:r>
            </m:e>
            <m:sub>
              <m:r>
                <m:t>0</m:t>
              </m:r>
            </m:sub>
          </m:sSub>
          <m:rad>
            <m:radPr>
              <m:degHide m:val="on"/>
            </m:radPr>
            <m:deg/>
            <m:e>
              <m:r>
                <m:t>1</m:t>
              </m:r>
              <m:r>
                <m:rPr>
                  <m:sty m:val="p"/>
                </m:rPr>
                <m:t>+</m:t>
              </m:r>
              <m:sSup>
                <m:e>
                  <m:d>
                    <m:dPr>
                      <m:begChr m:val="("/>
                      <m:endChr m:val=")"/>
                      <m:sepChr m:val=""/>
                      <m:grow/>
                    </m:dPr>
                    <m:e>
                      <m:f>
                        <m:fPr>
                          <m:type m:val="bar"/>
                        </m:fPr>
                        <m:num>
                          <m:r>
                            <m:t>z</m:t>
                          </m:r>
                          <m:r>
                            <m:rPr>
                              <m:sty m:val="p"/>
                            </m:rPr>
                            <m:t>−</m:t>
                          </m:r>
                          <m:sSub>
                            <m:e>
                              <m:r>
                                <m:t>z</m:t>
                              </m:r>
                            </m:e>
                            <m:sub>
                              <m:r>
                                <m:t>0</m:t>
                              </m:r>
                            </m:sub>
                          </m:sSub>
                        </m:num>
                        <m:den>
                          <m:sSub>
                            <m:e>
                              <m:r>
                                <m:t>z</m:t>
                              </m:r>
                            </m:e>
                            <m:sub>
                              <m:r>
                                <m:t>R</m:t>
                              </m:r>
                            </m:sub>
                          </m:sSub>
                        </m:den>
                      </m:f>
                    </m:e>
                  </m:d>
                </m:e>
                <m:sup>
                  <m:r>
                    <m:t>2</m:t>
                  </m:r>
                </m:sup>
              </m:sSup>
            </m:e>
          </m:rad>
          <m:r>
            <m:t>  </m:t>
          </m:r>
          <m:d>
            <m:dPr>
              <m:begChr m:val="("/>
              <m:endChr m:val=")"/>
              <m:sepChr m:val=""/>
              <m:grow/>
            </m:dPr>
            <m:e>
              <m:r>
                <m:t>24</m:t>
              </m:r>
            </m:e>
          </m:d>
        </m:oMath>
      </m:oMathPara>
    </w:p>
    <w:p>
      <w:pPr>
        <w:pStyle w:val="FirstParagraph"/>
      </w:pPr>
      <m:oMathPara>
        <m:oMathParaPr>
          <m:jc m:val="center"/>
        </m:oMathParaPr>
        <m:oMath>
          <m:sSub>
            <m:e>
              <m:r>
                <m:t>z</m:t>
              </m:r>
            </m:e>
            <m:sub>
              <m:r>
                <m:t>R</m:t>
              </m:r>
            </m:sub>
          </m:sSub>
          <m:r>
            <m:rPr>
              <m:sty m:val="p"/>
            </m:rPr>
            <m:t>=</m:t>
          </m:r>
          <m:f>
            <m:fPr>
              <m:type m:val="bar"/>
            </m:fPr>
            <m:num>
              <m:r>
                <m:t>π</m:t>
              </m:r>
              <m:sSubSup>
                <m:e>
                  <m:r>
                    <m:t>w</m:t>
                  </m:r>
                </m:e>
                <m:sub>
                  <m:r>
                    <m:t>0</m:t>
                  </m:r>
                </m:sub>
                <m:sup>
                  <m:r>
                    <m:t>2</m:t>
                  </m:r>
                </m:sup>
              </m:sSubSup>
            </m:num>
            <m:den>
              <m:r>
                <m:t>λ</m:t>
              </m:r>
            </m:den>
          </m:f>
          <m:r>
            <m:t>  </m:t>
          </m:r>
          <m:d>
            <m:dPr>
              <m:begChr m:val="("/>
              <m:endChr m:val=")"/>
              <m:sepChr m:val=""/>
              <m:grow/>
            </m:dPr>
            <m:e>
              <m:r>
                <m:t>25</m:t>
              </m:r>
            </m:e>
          </m:d>
        </m:oMath>
      </m:oMathPara>
    </w:p>
    <w:p>
      <w:pPr>
        <w:pStyle w:val="FirstParagraph"/>
      </w:pPr>
      <w:r>
        <w:t xml:space="preserve">理想高斯光束的远场半发散角为</w:t>
      </w:r>
    </w:p>
    <w:p>
      <w:pPr>
        <w:pStyle w:val="BodyText"/>
      </w:pPr>
      <m:oMathPara>
        <m:oMathParaPr>
          <m:jc m:val="center"/>
        </m:oMathParaPr>
        <m:oMath>
          <m:sSub>
            <m:e>
              <m:r>
                <m:t>θ</m:t>
              </m:r>
            </m:e>
            <m:sub>
              <m:r>
                <m:t>0</m:t>
              </m:r>
            </m:sub>
          </m:sSub>
          <m:r>
            <m:rPr>
              <m:sty m:val="p"/>
            </m:rPr>
            <m:t>=</m:t>
          </m:r>
          <m:f>
            <m:fPr>
              <m:type m:val="bar"/>
            </m:fPr>
            <m:num>
              <m:r>
                <m:t>λ</m:t>
              </m:r>
            </m:num>
            <m:den>
              <m:r>
                <m:t>π</m:t>
              </m:r>
              <m:sSub>
                <m:e>
                  <m:r>
                    <m:t>w</m:t>
                  </m:r>
                </m:e>
                <m:sub>
                  <m:r>
                    <m:t>0</m:t>
                  </m:r>
                </m:sub>
              </m:sSub>
            </m:den>
          </m:f>
          <m:r>
            <m:t>  </m:t>
          </m:r>
          <m:d>
            <m:dPr>
              <m:begChr m:val="("/>
              <m:endChr m:val=")"/>
              <m:sepChr m:val=""/>
              <m:grow/>
            </m:dPr>
            <m:e>
              <m:r>
                <m:t>26</m:t>
              </m:r>
            </m:e>
          </m:d>
        </m:oMath>
      </m:oMathPara>
    </w:p>
    <w:p>
      <w:pPr>
        <w:pStyle w:val="FirstParagraph"/>
      </w:pPr>
      <w:r>
        <w:t xml:space="preserve">对于以</w:t>
      </w:r>
      <w:r>
        <w:t xml:space="preserve"> </w:t>
      </w:r>
      <m:oMath>
        <m:sSup>
          <m:e>
            <m:r>
              <m:t>M</m:t>
            </m:r>
          </m:e>
          <m:sup>
            <m:r>
              <m:t>2</m:t>
            </m:r>
          </m:sup>
        </m:sSup>
      </m:oMath>
      <w:r>
        <w:t xml:space="preserve"> </w:t>
      </w:r>
      <w:r>
        <w:t xml:space="preserve">表征的非理想光束，可使用等效传播关系</w:t>
      </w:r>
    </w:p>
    <w:p>
      <w:pPr>
        <w:pStyle w:val="BodyText"/>
      </w:pPr>
      <m:oMathPara>
        <m:oMathParaPr>
          <m:jc m:val="center"/>
        </m:oMathParaPr>
        <m:oMath>
          <m:r>
            <m:t>w</m:t>
          </m:r>
          <m:d>
            <m:dPr>
              <m:begChr m:val="("/>
              <m:endChr m:val=")"/>
              <m:sepChr m:val=""/>
              <m:grow/>
            </m:dPr>
            <m:e>
              <m:r>
                <m:t>z</m:t>
              </m:r>
            </m:e>
          </m:d>
          <m:r>
            <m:rPr>
              <m:sty m:val="p"/>
            </m:rPr>
            <m:t>=</m:t>
          </m:r>
          <m:sSub>
            <m:e>
              <m:r>
                <m:t>w</m:t>
              </m:r>
            </m:e>
            <m:sub>
              <m:r>
                <m:t>0</m:t>
              </m:r>
            </m:sub>
          </m:sSub>
          <m:rad>
            <m:radPr>
              <m:degHide m:val="on"/>
            </m:radPr>
            <m:deg/>
            <m:e>
              <m:r>
                <m:t>1</m:t>
              </m:r>
              <m:r>
                <m:rPr>
                  <m:sty m:val="p"/>
                </m:rPr>
                <m:t>+</m:t>
              </m:r>
              <m:sSup>
                <m:e>
                  <m:d>
                    <m:dPr>
                      <m:begChr m:val="["/>
                      <m:endChr m:val="]"/>
                      <m:sepChr m:val=""/>
                      <m:grow/>
                    </m:dPr>
                    <m:e>
                      <m:f>
                        <m:fPr>
                          <m:type m:val="bar"/>
                        </m:fPr>
                        <m:num>
                          <m:sSup>
                            <m:e>
                              <m:r>
                                <m:t>M</m:t>
                              </m:r>
                            </m:e>
                            <m:sup>
                              <m:r>
                                <m:t>2</m:t>
                              </m:r>
                            </m:sup>
                          </m:sSup>
                          <m:r>
                            <m:t>λ</m:t>
                          </m:r>
                          <m:d>
                            <m:dPr>
                              <m:begChr m:val="("/>
                              <m:endChr m:val=")"/>
                              <m:sepChr m:val=""/>
                              <m:grow/>
                            </m:dPr>
                            <m:e>
                              <m:r>
                                <m:t>z</m:t>
                              </m:r>
                              <m:r>
                                <m:rPr>
                                  <m:sty m:val="p"/>
                                </m:rPr>
                                <m:t>−</m:t>
                              </m:r>
                              <m:sSub>
                                <m:e>
                                  <m:r>
                                    <m:t>z</m:t>
                                  </m:r>
                                </m:e>
                                <m:sub>
                                  <m:r>
                                    <m:t>0</m:t>
                                  </m:r>
                                </m:sub>
                              </m:sSub>
                            </m:e>
                          </m:d>
                        </m:num>
                        <m:den>
                          <m:r>
                            <m:t>π</m:t>
                          </m:r>
                          <m:sSubSup>
                            <m:e>
                              <m:r>
                                <m:t>w</m:t>
                              </m:r>
                            </m:e>
                            <m:sub>
                              <m:r>
                                <m:t>0</m:t>
                              </m:r>
                            </m:sub>
                            <m:sup>
                              <m:r>
                                <m:t>2</m:t>
                              </m:r>
                            </m:sup>
                          </m:sSubSup>
                        </m:den>
                      </m:f>
                    </m:e>
                  </m:d>
                </m:e>
                <m:sup>
                  <m:r>
                    <m:t>2</m:t>
                  </m:r>
                </m:sup>
              </m:sSup>
            </m:e>
          </m:rad>
          <m:r>
            <m:t>  </m:t>
          </m:r>
          <m:d>
            <m:dPr>
              <m:begChr m:val="("/>
              <m:endChr m:val=")"/>
              <m:sepChr m:val=""/>
              <m:grow/>
            </m:dPr>
            <m:e>
              <m:r>
                <m:t>27</m:t>
              </m:r>
            </m:e>
          </m:d>
        </m:oMath>
      </m:oMathPara>
    </w:p>
    <w:p>
      <w:pPr>
        <w:pStyle w:val="FirstParagraph"/>
      </w:pPr>
      <m:oMathPara>
        <m:oMathParaPr>
          <m:jc m:val="center"/>
        </m:oMathParaPr>
        <m:oMath>
          <m:r>
            <m:t>θ</m:t>
          </m:r>
          <m:r>
            <m:rPr>
              <m:sty m:val="p"/>
            </m:rPr>
            <m:t>=</m:t>
          </m:r>
          <m:f>
            <m:fPr>
              <m:type m:val="bar"/>
            </m:fPr>
            <m:num>
              <m:sSup>
                <m:e>
                  <m:r>
                    <m:t>M</m:t>
                  </m:r>
                </m:e>
                <m:sup>
                  <m:r>
                    <m:t>2</m:t>
                  </m:r>
                </m:sup>
              </m:sSup>
              <m:r>
                <m:t>λ</m:t>
              </m:r>
            </m:num>
            <m:den>
              <m:r>
                <m:t>π</m:t>
              </m:r>
              <m:sSub>
                <m:e>
                  <m:r>
                    <m:t>w</m:t>
                  </m:r>
                </m:e>
                <m:sub>
                  <m:r>
                    <m:t>0</m:t>
                  </m:r>
                </m:sub>
              </m:sSub>
            </m:den>
          </m:f>
          <m:r>
            <m:t>  </m:t>
          </m:r>
          <m:d>
            <m:dPr>
              <m:begChr m:val="("/>
              <m:endChr m:val=")"/>
              <m:sepChr m:val=""/>
              <m:grow/>
            </m:dPr>
            <m:e>
              <m:r>
                <m:t>28</m:t>
              </m:r>
            </m:e>
          </m:d>
        </m:oMath>
      </m:oMathPara>
    </w:p>
    <w:p>
      <w:pPr>
        <w:pStyle w:val="FirstParagraph"/>
      </w:pPr>
      <w:r>
        <w:drawing>
          <wp:inline>
            <wp:extent cx="3840480" cy="1381088"/>
            <wp:effectExtent b="0" l="0" r="0" t="0"/>
            <wp:docPr descr="" title="" id="58" name="Picture"/>
            <a:graphic>
              <a:graphicData uri="http://schemas.openxmlformats.org/drawingml/2006/picture">
                <pic:pic>
                  <pic:nvPicPr>
                    <pic:cNvPr descr="/home/runner/work/codex-test/codex-test/artifacts/defense_book_assets/fig09_gaussian.png" id="59" name="Picture"/>
                    <pic:cNvPicPr>
                      <a:picLocks noChangeArrowheads="1" noChangeAspect="1"/>
                    </pic:cNvPicPr>
                  </pic:nvPicPr>
                  <pic:blipFill>
                    <a:blip r:embed="rId57"/>
                    <a:stretch>
                      <a:fillRect/>
                    </a:stretch>
                  </pic:blipFill>
                  <pic:spPr bwMode="auto">
                    <a:xfrm>
                      <a:off x="0" y="0"/>
                      <a:ext cx="3840480" cy="1381088"/>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图9　高斯光束束腰与远场发散示意</w:t>
      </w:r>
      <w:r>
        <w:rPr>
          <w:rFonts w:ascii="宋体" w:hAnsi="宋体" w:eastAsia="宋体"/>
          <w:sz w:val="19"/>
        </w:rPr>
        <w:br/>
      </w:r>
      <w:r>
        <w:rPr>
          <w:rFonts w:ascii="宋体" w:hAnsi="宋体" w:eastAsia="宋体"/>
          <w:sz w:val="19"/>
        </w:rPr>
        <w:t xml:space="preserve">需要注意：ISO 11146 对正式测试采用二阶矩方法定义光束宽度、发散角和光束传播比；教材中的</w:t>
      </w:r>
      <w:r>
        <w:rPr>
          <w:rFonts w:ascii="宋体" w:hAnsi="宋体" w:eastAsia="宋体"/>
          <w:sz w:val="19"/>
        </w:rPr>
        <w:t xml:space="preserve"> </w:t>
      </w:r>
      <m:oMath>
        <m:r>
          <m:t>w</m:t>
        </m:r>
        <m:d>
          <m:dPr>
            <m:begChr m:val="("/>
            <m:endChr m:val=")"/>
            <m:sepChr m:val=""/>
            <m:grow/>
          </m:dPr>
          <m:e>
            <m:r>
              <m:t>z</m:t>
            </m:r>
          </m:e>
        </m:d>
      </m:oMath>
      <w:r>
        <w:rPr>
          <w:rFonts w:ascii="宋体" w:hAnsi="宋体" w:eastAsia="宋体"/>
          <w:sz w:val="19"/>
        </w:rPr>
        <w:t xml:space="preserve"> </w:t>
      </w:r>
      <w:r>
        <w:rPr>
          <w:rFonts w:ascii="宋体" w:hAnsi="宋体" w:eastAsia="宋体"/>
          <w:sz w:val="19"/>
        </w:rPr>
        <w:t xml:space="preserve">关系用于解释高斯或等效高斯传播，不能与标准测试中的D4σ定义混用[10]。</w:t>
      </w:r>
    </w:p>
    <w:bookmarkEnd w:id="60"/>
    <w:bookmarkStart w:id="61" w:name="光轴偏差"/>
    <w:p>
      <w:pPr>
        <w:pStyle w:val="Heading2"/>
      </w:pPr>
      <w:r>
        <w:t xml:space="preserve">6.3 光轴偏差</w:t>
      </w:r>
    </w:p>
    <w:p>
      <w:pPr>
        <w:pStyle w:val="FirstParagraph"/>
      </w:pPr>
      <w:r>
        <w:t xml:space="preserve">若距离</w:t>
      </w:r>
      <w:r>
        <w:t xml:space="preserve"> </w:t>
      </w:r>
      <m:oMath>
        <m:r>
          <m:t>L</m:t>
        </m:r>
      </m:oMath>
      <w:r>
        <w:t xml:space="preserve"> </w:t>
      </w:r>
      <w:r>
        <w:t xml:space="preserve">处的光斑中心相对机械基准轴横向偏移</w:t>
      </w:r>
      <w:r>
        <w:t xml:space="preserve"> </w:t>
      </w:r>
      <m:oMath>
        <m:r>
          <m:t>Δ</m:t>
        </m:r>
        <m:r>
          <m:t>y</m:t>
        </m:r>
      </m:oMath>
      <w:r>
        <w:t xml:space="preserve">，则指向角为</w:t>
      </w:r>
    </w:p>
    <w:p>
      <w:pPr>
        <w:pStyle w:val="BodyText"/>
      </w:pPr>
      <m:oMathPara>
        <m:oMathParaPr>
          <m:jc m:val="center"/>
        </m:oMathParaPr>
        <m:oMath>
          <m:r>
            <m:t>α</m:t>
          </m:r>
          <m:r>
            <m:rPr>
              <m:sty m:val="p"/>
            </m:rPr>
            <m:t>=</m:t>
          </m:r>
          <m:r>
            <m:rPr>
              <m:sty m:val="p"/>
            </m:rPr>
            <m:t>arctan</m:t>
          </m:r>
          <m:d>
            <m:dPr>
              <m:begChr m:val="("/>
              <m:endChr m:val=")"/>
              <m:sepChr m:val=""/>
              <m:grow/>
            </m:dPr>
            <m:e>
              <m:f>
                <m:fPr>
                  <m:type m:val="bar"/>
                </m:fPr>
                <m:num>
                  <m:r>
                    <m:t>Δ</m:t>
                  </m:r>
                  <m:r>
                    <m:t>y</m:t>
                  </m:r>
                </m:num>
                <m:den>
                  <m:r>
                    <m:t>L</m:t>
                  </m:r>
                </m:den>
              </m:f>
            </m:e>
          </m:d>
          <m:r>
            <m:rPr>
              <m:sty m:val="p"/>
            </m:rPr>
            <m:t>≈</m:t>
          </m:r>
          <m:f>
            <m:fPr>
              <m:type m:val="bar"/>
            </m:fPr>
            <m:num>
              <m:r>
                <m:t>Δ</m:t>
              </m:r>
              <m:r>
                <m:t>y</m:t>
              </m:r>
            </m:num>
            <m:den>
              <m:r>
                <m:t>L</m:t>
              </m:r>
            </m:den>
          </m:f>
          <m:r>
            <m:t> </m:t>
          </m:r>
          <m:d>
            <m:dPr>
              <m:begChr m:val="("/>
              <m:endChr m:val=")"/>
              <m:sepChr m:val=""/>
              <m:grow/>
            </m:dPr>
            <m:e>
              <m:r>
                <m:t>α</m:t>
              </m:r>
              <m:r>
                <m:rPr>
                  <m:sty m:val="p"/>
                </m:rPr>
                <m:t>≪</m:t>
              </m:r>
              <m:r>
                <m:t>1</m:t>
              </m:r>
            </m:e>
          </m:d>
          <m:r>
            <m:t>  </m:t>
          </m:r>
          <m:d>
            <m:dPr>
              <m:begChr m:val="("/>
              <m:endChr m:val=")"/>
              <m:sepChr m:val=""/>
              <m:grow/>
            </m:dPr>
            <m:e>
              <m:r>
                <m:t>29</m:t>
              </m:r>
            </m:e>
          </m:d>
        </m:oMath>
      </m:oMathPara>
    </w:p>
    <w:p>
      <w:pPr>
        <w:pStyle w:val="FirstParagraph"/>
      </w:pPr>
      <w:r>
        <w:t xml:space="preserve">工程上宜使用 rad 或 mrad 表示指向误差，而不是简单将</w:t>
      </w:r>
      <w:r>
        <w:t xml:space="preserve"> </w:t>
      </w:r>
      <m:oMath>
        <m:r>
          <m:t>Δ</m:t>
        </m:r>
        <m:r>
          <m:t>y</m:t>
        </m:r>
        <m:r>
          <m:rPr>
            <m:sty m:val="p"/>
          </m:rPr>
          <m:t>/</m:t>
        </m:r>
        <m:r>
          <m:t>L</m:t>
        </m:r>
      </m:oMath>
      <w:r>
        <w:t xml:space="preserve"> </w:t>
      </w:r>
      <w:r>
        <w:t xml:space="preserve">表述为“百分比偏差”。</w:t>
      </w:r>
    </w:p>
    <w:bookmarkEnd w:id="61"/>
    <w:bookmarkEnd w:id="62"/>
    <w:bookmarkStart w:id="66" w:name="电磁激光协同工作链路"/>
    <w:p>
      <w:pPr>
        <w:pStyle w:val="Heading1"/>
      </w:pPr>
      <w:r>
        <w:t xml:space="preserve">7 电磁—激光协同工作链路</w:t>
      </w:r>
    </w:p>
    <w:p>
      <w:pPr>
        <w:pStyle w:val="FirstParagraph"/>
      </w:pPr>
      <w:r>
        <w:t xml:space="preserve">从控制逻辑上，机械反馈与激光反馈通常是</w:t>
      </w:r>
      <w:r>
        <w:rPr>
          <w:bCs/>
          <w:b/>
        </w:rPr>
        <w:t xml:space="preserve">并行支路</w:t>
      </w:r>
      <w:r>
        <w:t xml:space="preserve">，不应把两条支路的延迟机械相加成一个统一响应时间。</w:t>
      </w:r>
    </w:p>
    <w:p>
      <w:pPr>
        <w:pStyle w:val="BodyText"/>
      </w:pPr>
      <w:r>
        <w:drawing>
          <wp:inline>
            <wp:extent cx="4587240" cy="1723248"/>
            <wp:effectExtent b="0" l="0" r="0" t="0"/>
            <wp:docPr descr="" title="" id="64" name="Picture"/>
            <a:graphic>
              <a:graphicData uri="http://schemas.openxmlformats.org/drawingml/2006/picture">
                <pic:pic>
                  <pic:nvPicPr>
                    <pic:cNvPr descr="/home/runner/work/codex-test/codex-test/artifacts/defense_book_assets/fig10_chain.png" id="65" name="Picture"/>
                    <pic:cNvPicPr>
                      <a:picLocks noChangeArrowheads="1" noChangeAspect="1"/>
                    </pic:cNvPicPr>
                  </pic:nvPicPr>
                  <pic:blipFill>
                    <a:blip r:embed="rId63"/>
                    <a:stretch>
                      <a:fillRect/>
                    </a:stretch>
                  </pic:blipFill>
                  <pic:spPr bwMode="auto">
                    <a:xfrm>
                      <a:off x="0" y="0"/>
                      <a:ext cx="4587240" cy="1723248"/>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图10　电磁—激光两支路协同工作链路</w:t>
      </w:r>
      <w:r>
        <w:rPr>
          <w:rFonts w:ascii="宋体" w:hAnsi="宋体" w:eastAsia="宋体"/>
          <w:sz w:val="19"/>
        </w:rPr>
        <w:br/>
      </w:r>
      <w:r>
        <w:rPr>
          <w:rFonts w:ascii="宋体" w:hAnsi="宋体" w:eastAsia="宋体"/>
          <w:sz w:val="19"/>
        </w:rPr>
        <w:t xml:space="preserve">该图综合第二份文档的“完整工作链路”与第一份文档的“能源—控制—执行—反馈”思想。控制器根据扳机、模式和互锁条件分别输出电磁驱动和激光驱动信号。</w:t>
      </w:r>
    </w:p>
    <w:p>
      <w:pPr>
        <w:pStyle w:val="BodyText"/>
      </w:pPr>
      <w:r>
        <w:t xml:space="preserve">可分别定义机械反馈延迟和激光输出延迟：</w:t>
      </w:r>
    </w:p>
    <w:p>
      <w:pPr>
        <w:pStyle w:val="BodyText"/>
      </w:pPr>
      <m:oMathPara>
        <m:oMathParaPr>
          <m:jc m:val="center"/>
        </m:oMathParaPr>
        <m:oMath>
          <m:sSub>
            <m:e>
              <m:r>
                <m:t>t</m:t>
              </m:r>
            </m:e>
            <m:sub>
              <m:r>
                <m:t>e</m:t>
              </m:r>
              <m:r>
                <m:t>m</m:t>
              </m:r>
            </m:sub>
          </m:sSub>
          <m:r>
            <m:rPr>
              <m:sty m:val="p"/>
            </m:rPr>
            <m:t>=</m:t>
          </m:r>
          <m:sSub>
            <m:e>
              <m:r>
                <m:t>t</m:t>
              </m:r>
            </m:e>
            <m:sub>
              <m:r>
                <m:t>c</m:t>
              </m:r>
              <m:r>
                <m:t>t</m:t>
              </m:r>
              <m:r>
                <m:t>r</m:t>
              </m:r>
              <m:r>
                <m:t>l</m:t>
              </m:r>
            </m:sub>
          </m:sSub>
          <m:r>
            <m:rPr>
              <m:sty m:val="p"/>
            </m:rPr>
            <m:t>+</m:t>
          </m:r>
          <m:sSub>
            <m:e>
              <m:r>
                <m:t>t</m:t>
              </m:r>
            </m:e>
            <m:sub>
              <m:r>
                <m:t>e</m:t>
              </m:r>
            </m:sub>
          </m:sSub>
          <m:r>
            <m:rPr>
              <m:sty m:val="p"/>
            </m:rPr>
            <m:t>+</m:t>
          </m:r>
          <m:sSub>
            <m:e>
              <m:r>
                <m:t>t</m:t>
              </m:r>
            </m:e>
            <m:sub>
              <m:r>
                <m:t>m</m:t>
              </m:r>
            </m:sub>
          </m:sSub>
          <m:r>
            <m:t>  </m:t>
          </m:r>
          <m:d>
            <m:dPr>
              <m:begChr m:val="("/>
              <m:endChr m:val=")"/>
              <m:sepChr m:val=""/>
              <m:grow/>
            </m:dPr>
            <m:e>
              <m:r>
                <m:t>30</m:t>
              </m:r>
            </m:e>
          </m:d>
        </m:oMath>
      </m:oMathPara>
    </w:p>
    <w:p>
      <w:pPr>
        <w:pStyle w:val="FirstParagraph"/>
      </w:pPr>
      <m:oMathPara>
        <m:oMathParaPr>
          <m:jc m:val="center"/>
        </m:oMathParaPr>
        <m:oMath>
          <m:sSub>
            <m:e>
              <m:r>
                <m:t>t</m:t>
              </m:r>
            </m:e>
            <m:sub>
              <m:r>
                <m:t>l</m:t>
              </m:r>
              <m:r>
                <m:t>a</m:t>
              </m:r>
              <m:r>
                <m:t>s</m:t>
              </m:r>
              <m:r>
                <m:t>e</m:t>
              </m:r>
              <m:r>
                <m:t>r</m:t>
              </m:r>
            </m:sub>
          </m:sSub>
          <m:r>
            <m:rPr>
              <m:sty m:val="p"/>
            </m:rPr>
            <m:t>=</m:t>
          </m:r>
          <m:sSub>
            <m:e>
              <m:r>
                <m:t>t</m:t>
              </m:r>
            </m:e>
            <m:sub>
              <m:r>
                <m:t>c</m:t>
              </m:r>
              <m:r>
                <m:t>t</m:t>
              </m:r>
              <m:r>
                <m:t>r</m:t>
              </m:r>
              <m:r>
                <m:t>l</m:t>
              </m:r>
            </m:sub>
          </m:sSub>
          <m:r>
            <m:rPr>
              <m:sty m:val="p"/>
            </m:rPr>
            <m:t>+</m:t>
          </m:r>
          <m:sSub>
            <m:e>
              <m:r>
                <m:t>t</m:t>
              </m:r>
            </m:e>
            <m:sub>
              <m:r>
                <m:t>d</m:t>
              </m:r>
              <m:r>
                <m:t>r</m:t>
              </m:r>
              <m:r>
                <m:t>v</m:t>
              </m:r>
            </m:sub>
          </m:sSub>
          <m:r>
            <m:rPr>
              <m:sty m:val="p"/>
            </m:rPr>
            <m:t>+</m:t>
          </m:r>
          <m:sSub>
            <m:e>
              <m:r>
                <m:t>t</m:t>
              </m:r>
            </m:e>
            <m:sub>
              <m:r>
                <m:t>o</m:t>
              </m:r>
              <m:r>
                <m:t>p</m:t>
              </m:r>
              <m:r>
                <m:t>t</m:t>
              </m:r>
            </m:sub>
          </m:sSub>
          <m:r>
            <m:t>  </m:t>
          </m:r>
          <m:d>
            <m:dPr>
              <m:begChr m:val="("/>
              <m:endChr m:val=")"/>
              <m:sepChr m:val=""/>
              <m:grow/>
            </m:dPr>
            <m:e>
              <m:r>
                <m:t>31</m:t>
              </m:r>
            </m:e>
          </m:d>
        </m:oMath>
      </m:oMathPara>
    </w:p>
    <w:p>
      <w:pPr>
        <w:pStyle w:val="FirstParagraph"/>
      </w:pPr>
      <w:r>
        <w:t xml:space="preserve">两种反馈之间的同步误差为</w:t>
      </w:r>
    </w:p>
    <w:p>
      <w:pPr>
        <w:pStyle w:val="BodyText"/>
      </w:pPr>
      <m:oMathPara>
        <m:oMathParaPr>
          <m:jc m:val="center"/>
        </m:oMathParaPr>
        <m:oMath>
          <m:r>
            <m:t>Δ</m:t>
          </m:r>
          <m:r>
            <m:t>t</m:t>
          </m:r>
          <m:r>
            <m:rPr>
              <m:sty m:val="p"/>
            </m:rPr>
            <m:t>=</m:t>
          </m:r>
          <m:sSub>
            <m:e>
              <m:r>
                <m:t>t</m:t>
              </m:r>
            </m:e>
            <m:sub>
              <m:r>
                <m:t>l</m:t>
              </m:r>
              <m:r>
                <m:t>a</m:t>
              </m:r>
              <m:r>
                <m:t>s</m:t>
              </m:r>
              <m:r>
                <m:t>e</m:t>
              </m:r>
              <m:r>
                <m:t>r</m:t>
              </m:r>
            </m:sub>
          </m:sSub>
          <m:r>
            <m:rPr>
              <m:sty m:val="p"/>
            </m:rPr>
            <m:t>−</m:t>
          </m:r>
          <m:sSub>
            <m:e>
              <m:r>
                <m:t>t</m:t>
              </m:r>
            </m:e>
            <m:sub>
              <m:r>
                <m:t>e</m:t>
              </m:r>
              <m:r>
                <m:t>m</m:t>
              </m:r>
            </m:sub>
          </m:sSub>
          <m:r>
            <m:t>  </m:t>
          </m:r>
          <m:d>
            <m:dPr>
              <m:begChr m:val="("/>
              <m:endChr m:val=")"/>
              <m:sepChr m:val=""/>
              <m:grow/>
            </m:dPr>
            <m:e>
              <m:r>
                <m:t>32</m:t>
              </m:r>
            </m:e>
          </m:d>
        </m:oMath>
      </m:oMathPara>
    </w:p>
    <w:p>
      <w:pPr>
        <w:pStyle w:val="FirstParagraph"/>
      </w:pPr>
      <w:r>
        <w:t xml:space="preserve">这一表达比把所有延迟直接相加更符合并行控制逻辑，也更便于测试两种反馈是否同步。</w:t>
      </w:r>
    </w:p>
    <w:bookmarkEnd w:id="66"/>
    <w:bookmarkStart w:id="70" w:name="实物结构与功能映射"/>
    <w:p>
      <w:pPr>
        <w:pStyle w:val="Heading1"/>
      </w:pPr>
      <w:r>
        <w:t xml:space="preserve">8 实物结构与功能映射</w:t>
      </w:r>
    </w:p>
    <w:p>
      <w:pPr>
        <w:pStyle w:val="FirstParagraph"/>
      </w:pPr>
      <w:r>
        <w:t xml:space="preserve">第二份原文档中的管状总成、前端金属管和L形支架照片具有较高的教学价值，因为它们能够说明“结构事实”和“功能推断”的区别。粗径包覆段能够确认存在内部组件和线束，但不能仅凭外观断定其一定是电磁铁；细长金属管可能承担机械导向、结构支撑或光学通道功能，也需要通过线束追踪和通孔观察验证。</w:t>
      </w:r>
    </w:p>
    <w:p>
      <w:pPr>
        <w:pStyle w:val="BodyText"/>
      </w:pPr>
      <w:r>
        <w:drawing>
          <wp:inline>
            <wp:extent cx="4373880" cy="1802876"/>
            <wp:effectExtent b="0" l="0" r="0" t="0"/>
            <wp:docPr descr="" title="" id="68" name="Picture"/>
            <a:graphic>
              <a:graphicData uri="http://schemas.openxmlformats.org/drawingml/2006/picture">
                <pic:pic>
                  <pic:nvPicPr>
                    <pic:cNvPr descr="/home/runner/work/codex-test/codex-test/artifacts/defense_book_assets/fig11_tubular_map.png" id="69" name="Picture"/>
                    <pic:cNvPicPr>
                      <a:picLocks noChangeArrowheads="1" noChangeAspect="1"/>
                    </pic:cNvPicPr>
                  </pic:nvPicPr>
                  <pic:blipFill>
                    <a:blip r:embed="rId67"/>
                    <a:stretch>
                      <a:fillRect/>
                    </a:stretch>
                  </pic:blipFill>
                  <pic:spPr bwMode="auto">
                    <a:xfrm>
                      <a:off x="0" y="0"/>
                      <a:ext cx="4373880" cy="1802876"/>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图11　依据原文档实物照片重绘的管状总成与前端支架功能映射</w:t>
      </w:r>
      <w:r>
        <w:rPr>
          <w:rFonts w:ascii="宋体" w:hAnsi="宋体" w:eastAsia="宋体"/>
          <w:sz w:val="19"/>
        </w:rPr>
        <w:br/>
      </w:r>
      <w:r>
        <w:rPr>
          <w:rFonts w:ascii="宋体" w:hAnsi="宋体" w:eastAsia="宋体"/>
          <w:sz w:val="19"/>
        </w:rPr>
        <w:t xml:space="preserve">该图有意采用“可能”</w:t>
      </w:r>
      <w:r>
        <w:rPr>
          <w:rFonts w:ascii="宋体" w:hAnsi="宋体" w:eastAsia="宋体"/>
          <w:sz w:val="19"/>
        </w:rPr>
        <w:t xml:space="preserve">“</w:t>
      </w:r>
      <w:r>
        <w:rPr>
          <w:rFonts w:ascii="宋体" w:hAnsi="宋体" w:eastAsia="宋体"/>
          <w:sz w:val="19"/>
        </w:rPr>
        <w:t xml:space="preserve">需确认</w:t>
      </w:r>
      <w:r>
        <w:rPr>
          <w:rFonts w:ascii="宋体" w:hAnsi="宋体" w:eastAsia="宋体"/>
          <w:sz w:val="19"/>
        </w:rPr>
        <w:t xml:space="preserve">”</w:t>
      </w:r>
      <w:r>
        <w:rPr>
          <w:rFonts w:ascii="宋体" w:hAnsi="宋体" w:eastAsia="宋体"/>
          <w:sz w:val="19"/>
        </w:rPr>
        <w:t xml:space="preserve">的标注方式，目的是培养学生基于证据进行工程判断的意识。对于国防教育教材，这种证据边界比给出未经验证的具体结构结论更重要。</w:t>
      </w:r>
    </w:p>
    <w:bookmarkEnd w:id="70"/>
    <w:bookmarkStart w:id="74" w:name="测试验证与安全边界"/>
    <w:p>
      <w:pPr>
        <w:pStyle w:val="Heading1"/>
      </w:pPr>
      <w:r>
        <w:t xml:space="preserve">9 测试验证与安全边界</w:t>
      </w:r>
    </w:p>
    <w:p>
      <w:pPr>
        <w:pStyle w:val="FirstParagraph"/>
      </w:pPr>
      <w:r>
        <w:t xml:space="preserve">为了把“合理解释”转化为“可验证模型”，可按静态检查、电参量采集、机械响应、热状态、激光输出、循环一致性和模型校核的顺序开展低风险测试。</w:t>
      </w:r>
    </w:p>
    <w:p>
      <w:pPr>
        <w:pStyle w:val="BodyText"/>
      </w:pPr>
      <w:r>
        <w:drawing>
          <wp:inline>
            <wp:extent cx="4693920" cy="1672222"/>
            <wp:effectExtent b="0" l="0" r="0" t="0"/>
            <wp:docPr descr="" title="" id="72" name="Picture"/>
            <a:graphic>
              <a:graphicData uri="http://schemas.openxmlformats.org/drawingml/2006/picture">
                <pic:pic>
                  <pic:nvPicPr>
                    <pic:cNvPr descr="/home/runner/work/codex-test/codex-test/artifacts/defense_book_assets/fig12_validation.png" id="73" name="Picture"/>
                    <pic:cNvPicPr>
                      <a:picLocks noChangeArrowheads="1" noChangeAspect="1"/>
                    </pic:cNvPicPr>
                  </pic:nvPicPr>
                  <pic:blipFill>
                    <a:blip r:embed="rId71"/>
                    <a:stretch>
                      <a:fillRect/>
                    </a:stretch>
                  </pic:blipFill>
                  <pic:spPr bwMode="auto">
                    <a:xfrm>
                      <a:off x="0" y="0"/>
                      <a:ext cx="4693920" cy="1672222"/>
                    </a:xfrm>
                    <a:prstGeom prst="rect">
                      <a:avLst/>
                    </a:prstGeom>
                    <a:noFill/>
                    <a:ln w="9525">
                      <a:noFill/>
                      <a:headEnd/>
                      <a:tailEnd/>
                    </a:ln>
                  </pic:spPr>
                </pic:pic>
              </a:graphicData>
            </a:graphic>
          </wp:inline>
        </w:drawing>
      </w:r>
    </w:p>
    <w:p>
      <w:pPr>
        <w:pStyle w:val="BodyText"/>
        <w:jc w:val="center"/>
      </w:pPr>
      <w:r>
        <w:rPr>
          <w:bCs/>
          <w:rFonts w:ascii="宋体" w:hAnsi="宋体" w:eastAsia="宋体"/>
          <w:b/>
          <w:sz w:val="19"/>
        </w:rPr>
        <w:t xml:space="preserve">图12　低风险、非破坏性验证与参数辨识流程</w:t>
      </w:r>
      <w:r>
        <w:rPr>
          <w:rFonts w:ascii="宋体" w:hAnsi="宋体" w:eastAsia="宋体"/>
          <w:sz w:val="19"/>
        </w:rPr>
        <w:br/>
      </w:r>
      <w:r>
        <w:rPr>
          <w:rFonts w:ascii="宋体" w:hAnsi="宋体" w:eastAsia="宋体"/>
          <w:sz w:val="19"/>
        </w:rPr>
        <w:t xml:space="preserve">该流程取自第一份文档“系统验证与参数辨识流程”的思路，并结合电磁—激光双支路补充了激光测试环节。</w:t>
      </w:r>
    </w:p>
    <w:p>
      <w:pPr>
        <w:pStyle w:val="BodyText"/>
      </w:pPr>
      <w:r>
        <w:t xml:space="preserve">电流或位移的10%—90%上升时间可定义为</w:t>
      </w:r>
    </w:p>
    <w:p>
      <w:pPr>
        <w:pStyle w:val="BodyText"/>
      </w:pPr>
      <m:oMathPara>
        <m:oMathParaPr>
          <m:jc m:val="center"/>
        </m:oMathParaPr>
        <m:oMath>
          <m:sSub>
            <m:e>
              <m:r>
                <m:t>t</m:t>
              </m:r>
            </m:e>
            <m:sub>
              <m:r>
                <m:t>r</m:t>
              </m:r>
              <m:r>
                <m:rPr>
                  <m:sty m:val="p"/>
                </m:rPr>
                <m:t>,</m:t>
              </m:r>
              <m:r>
                <m:t>10</m:t>
              </m:r>
              <m:r>
                <m:rPr>
                  <m:sty m:val="p"/>
                </m:rPr>
                <m:t>−</m:t>
              </m:r>
              <m:r>
                <m:t>90</m:t>
              </m:r>
            </m:sub>
          </m:sSub>
          <m:r>
            <m:rPr>
              <m:sty m:val="p"/>
            </m:rPr>
            <m:t>=</m:t>
          </m:r>
          <m:sSub>
            <m:e>
              <m:r>
                <m:t>t</m:t>
              </m:r>
            </m:e>
            <m:sub>
              <m:r>
                <m:t>90</m:t>
              </m:r>
              <m:r>
                <m:rPr>
                  <m:sty m:val="p"/>
                </m:rPr>
                <m:t>%</m:t>
              </m:r>
            </m:sub>
          </m:sSub>
          <m:r>
            <m:rPr>
              <m:sty m:val="p"/>
            </m:rPr>
            <m:t>−</m:t>
          </m:r>
          <m:sSub>
            <m:e>
              <m:r>
                <m:t>t</m:t>
              </m:r>
            </m:e>
            <m:sub>
              <m:r>
                <m:t>10</m:t>
              </m:r>
              <m:r>
                <m:rPr>
                  <m:sty m:val="p"/>
                </m:rPr>
                <m:t>%</m:t>
              </m:r>
            </m:sub>
          </m:sSub>
          <m:r>
            <m:t>  </m:t>
          </m:r>
          <m:d>
            <m:dPr>
              <m:begChr m:val="("/>
              <m:endChr m:val=")"/>
              <m:sepChr m:val=""/>
              <m:grow/>
            </m:dPr>
            <m:e>
              <m:r>
                <m:t>33</m:t>
              </m:r>
            </m:e>
          </m:d>
        </m:oMath>
      </m:oMathPara>
    </w:p>
    <w:p>
      <w:pPr>
        <w:pStyle w:val="FirstParagraph"/>
      </w:pPr>
      <w:r>
        <w:t xml:space="preserve">一次触发窗口内的电输入能量为</w:t>
      </w:r>
    </w:p>
    <w:p>
      <w:pPr>
        <w:pStyle w:val="BodyText"/>
      </w:pPr>
      <m:oMathPara>
        <m:oMathParaPr>
          <m:jc m:val="center"/>
        </m:oMathParaPr>
        <m:oMath>
          <m:sSub>
            <m:e>
              <m:r>
                <m:t>E</m:t>
              </m:r>
            </m:e>
            <m:sub>
              <m:r>
                <m:t>e</m:t>
              </m:r>
            </m:sub>
          </m:sSub>
          <m:r>
            <m:rPr>
              <m:sty m:val="p"/>
            </m:rPr>
            <m:t>=</m:t>
          </m:r>
          <m:nary>
            <m:naryPr>
              <m:chr m:val="∫"/>
              <m:limLoc m:val="subSup"/>
              <m:subHide m:val="off"/>
              <m:supHide m:val="off"/>
            </m:naryPr>
            <m:sub>
              <m:sSub>
                <m:e>
                  <m:r>
                    <m:t>t</m:t>
                  </m:r>
                </m:e>
                <m:sub>
                  <m:r>
                    <m:t>1</m:t>
                  </m:r>
                </m:sub>
              </m:sSub>
            </m:sub>
            <m:sup>
              <m:sSub>
                <m:e>
                  <m:r>
                    <m:t>t</m:t>
                  </m:r>
                </m:e>
                <m:sub>
                  <m:r>
                    <m:t>2</m:t>
                  </m:r>
                </m:sub>
              </m:sSub>
            </m:sup>
            <m:e>
              <m:r>
                <m:t>u</m:t>
              </m:r>
            </m:e>
          </m:nary>
          <m:d>
            <m:dPr>
              <m:begChr m:val="("/>
              <m:endChr m:val=")"/>
              <m:sepChr m:val=""/>
              <m:grow/>
            </m:dPr>
            <m:e>
              <m:r>
                <m:t>t</m:t>
              </m:r>
            </m:e>
          </m:d>
          <m:r>
            <m:t>i</m:t>
          </m:r>
          <m:d>
            <m:dPr>
              <m:begChr m:val="("/>
              <m:endChr m:val=")"/>
              <m:sepChr m:val=""/>
              <m:grow/>
            </m:dPr>
            <m:e>
              <m:r>
                <m:t>t</m:t>
              </m:r>
            </m:e>
          </m:d>
          <m:r>
            <m:t> </m:t>
          </m:r>
          <m:r>
            <m:rPr>
              <m:sty m:val="p"/>
            </m:rPr>
            <m:t>d</m:t>
          </m:r>
          <m:r>
            <m:t>t</m:t>
          </m:r>
          <m:r>
            <m:t>  </m:t>
          </m:r>
          <m:d>
            <m:dPr>
              <m:begChr m:val="("/>
              <m:endChr m:val=")"/>
              <m:sepChr m:val=""/>
              <m:grow/>
            </m:dPr>
            <m:e>
              <m:r>
                <m:t>34</m:t>
              </m:r>
            </m:e>
          </m:d>
        </m:oMath>
      </m:oMathPara>
    </w:p>
    <w:p>
      <w:pPr>
        <w:pStyle w:val="FirstParagraph"/>
      </w:pPr>
      <w:r>
        <w:t xml:space="preserve">多次指向测试可用平均指向角和样本标准差表示重复性：</w:t>
      </w:r>
    </w:p>
    <w:p>
      <w:pPr>
        <w:pStyle w:val="BodyText"/>
      </w:pPr>
      <m:oMathPara>
        <m:oMathParaPr>
          <m:jc m:val="center"/>
        </m:oMathParaPr>
        <m:oMath>
          <m:acc>
            <m:accPr>
              <m:chr m:val="‾"/>
            </m:accPr>
            <m:e>
              <m:r>
                <m:t>α</m:t>
              </m:r>
            </m:e>
          </m:acc>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α</m:t>
                  </m:r>
                </m:e>
                <m:sub>
                  <m:r>
                    <m:t>j</m:t>
                  </m:r>
                </m:sub>
              </m:sSub>
            </m:e>
          </m:nary>
          <m:r>
            <m:t>  </m:t>
          </m:r>
          <m:d>
            <m:dPr>
              <m:begChr m:val="("/>
              <m:endChr m:val=")"/>
              <m:sepChr m:val=""/>
              <m:grow/>
            </m:dPr>
            <m:e>
              <m:r>
                <m:t>35</m:t>
              </m:r>
            </m:e>
          </m:d>
        </m:oMath>
      </m:oMathPara>
    </w:p>
    <w:p>
      <w:pPr>
        <w:pStyle w:val="FirstParagraph"/>
      </w:pPr>
      <m:oMathPara>
        <m:oMathParaPr>
          <m:jc m:val="center"/>
        </m:oMathParaPr>
        <m:oMath>
          <m:sSub>
            <m:e>
              <m:r>
                <m:t>σ</m:t>
              </m:r>
            </m:e>
            <m:sub>
              <m:r>
                <m:t>α</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j</m:t>
                  </m:r>
                  <m:r>
                    <m:rPr>
                      <m:sty m:val="p"/>
                    </m:rPr>
                    <m:t>=</m:t>
                  </m:r>
                  <m:r>
                    <m:t>1</m:t>
                  </m:r>
                </m:sub>
                <m:sup>
                  <m:r>
                    <m:t>n</m:t>
                  </m:r>
                </m:sup>
                <m:e>
                  <m:sSup>
                    <m:e>
                      <m:d>
                        <m:dPr>
                          <m:begChr m:val="("/>
                          <m:endChr m:val=")"/>
                          <m:sepChr m:val=""/>
                          <m:grow/>
                        </m:dPr>
                        <m:e>
                          <m:sSub>
                            <m:e>
                              <m:r>
                                <m:t>α</m:t>
                              </m:r>
                            </m:e>
                            <m:sub>
                              <m:r>
                                <m:t>j</m:t>
                              </m:r>
                            </m:sub>
                          </m:sSub>
                          <m:r>
                            <m:rPr>
                              <m:sty m:val="p"/>
                            </m:rPr>
                            <m:t>−</m:t>
                          </m:r>
                          <m:acc>
                            <m:accPr>
                              <m:chr m:val="‾"/>
                            </m:accPr>
                            <m:e>
                              <m:r>
                                <m:t>α</m:t>
                              </m:r>
                            </m:e>
                          </m:acc>
                        </m:e>
                      </m:d>
                    </m:e>
                    <m:sup>
                      <m:r>
                        <m:t>2</m:t>
                      </m:r>
                    </m:sup>
                  </m:sSup>
                </m:e>
              </m:nary>
            </m:e>
          </m:rad>
          <m:r>
            <m:t>  </m:t>
          </m:r>
          <m:d>
            <m:dPr>
              <m:begChr m:val="("/>
              <m:endChr m:val=")"/>
              <m:sepChr m:val=""/>
              <m:grow/>
            </m:dPr>
            <m:e>
              <m:r>
                <m:t>36</m:t>
              </m:r>
            </m:e>
          </m:d>
        </m:oMath>
      </m:oMathPara>
    </w:p>
    <w:p>
      <w:pPr>
        <w:pStyle w:val="FirstParagraph"/>
      </w:pPr>
      <w:r>
        <w:t xml:space="preserve">在激光安全方面，未确认波长、输出功率和安全等级前，不应直视出光口，也不应向人员、镜面或高反射表面照射。我国现行 GB/T 7247.1—2024 已规定激光产品的分类和安全要求[11]。锂离子电池组的拆装和测试应避免短路、反接、过充、过放和机械损伤；便携式电子产品用锂离子电池和电池组的安全要求可参考 GB 31241—2022[12]。</w:t>
      </w:r>
    </w:p>
    <w:bookmarkEnd w:id="74"/>
    <w:bookmarkStart w:id="75" w:name="国防教育中的教学价值"/>
    <w:p>
      <w:pPr>
        <w:pStyle w:val="Heading1"/>
      </w:pPr>
      <w:r>
        <w:t xml:space="preserve">10 国防教育中的教学价值</w:t>
      </w:r>
    </w:p>
    <w:p>
      <w:pPr>
        <w:pStyle w:val="FirstParagraph"/>
      </w:pPr>
      <w:r>
        <w:t xml:space="preserve">将该仿真训练模型纳入《国防教育概论》，其价值不在于教授真实武器内部构造，而在于借助一个可观察、可拆解、可测试的训练装备案例，使学生理解现代国防教育装备的三个基本特征。</w:t>
      </w:r>
    </w:p>
    <w:p>
      <w:pPr>
        <w:pStyle w:val="BodyText"/>
      </w:pPr>
      <w:r>
        <w:t xml:space="preserve">第一，</w:t>
      </w:r>
      <w:r>
        <w:rPr>
          <w:bCs/>
          <w:b/>
        </w:rPr>
        <w:t xml:space="preserve">装备认知由外形识别转向系统认知</w:t>
      </w:r>
      <w:r>
        <w:t xml:space="preserve">。学生不仅观察外壳和部件，还能够理解能源、控制、执行、反馈和保护之间的系统联系。</w:t>
      </w:r>
    </w:p>
    <w:p>
      <w:pPr>
        <w:pStyle w:val="BodyText"/>
      </w:pPr>
      <w:r>
        <w:t xml:space="preserve">第二，</w:t>
      </w:r>
      <w:r>
        <w:rPr>
          <w:bCs/>
          <w:b/>
        </w:rPr>
        <w:t xml:space="preserve">训练反馈具有机电光融合特征</w:t>
      </w:r>
      <w:r>
        <w:t xml:space="preserve">。机械反馈、声光提示和数字计数可以围绕同一触发事件进行协同，从而把传统静态认知训练扩展为具有操作过程和动态反馈的体验式训练。</w:t>
      </w:r>
    </w:p>
    <w:p>
      <w:pPr>
        <w:pStyle w:val="BodyText"/>
      </w:pPr>
      <w:r>
        <w:t xml:space="preserve">第三，</w:t>
      </w:r>
      <w:r>
        <w:rPr>
          <w:bCs/>
          <w:b/>
        </w:rPr>
        <w:t xml:space="preserve">工程安全是国防教育装备设计的重要边界</w:t>
      </w:r>
      <w:r>
        <w:t xml:space="preserve">。训练装备的目标是提供可重复、可感知且风险受控的反馈，而不是追求真实装备的能量水平。电池保护、电流限制、温升控制、超时关闭和激光安全均属于系统设计的一部分。</w:t>
      </w:r>
    </w:p>
    <w:p>
      <w:pPr>
        <w:pStyle w:val="BodyText"/>
      </w:pPr>
      <w:r>
        <w:t xml:space="preserve">因此，该案例适合用于“国防教育装备”</w:t>
      </w:r>
      <w:r>
        <w:t xml:space="preserve">“</w:t>
      </w:r>
      <w:r>
        <w:t xml:space="preserve">仿真训练技术</w:t>
      </w:r>
      <w:r>
        <w:t xml:space="preserve">”</w:t>
      </w:r>
      <w:r>
        <w:t xml:space="preserve">“</w:t>
      </w:r>
      <w:r>
        <w:t xml:space="preserve">国防技能体验装备</w:t>
      </w:r>
      <w:r>
        <w:t xml:space="preserve">”</w:t>
      </w:r>
      <w:r>
        <w:t xml:space="preserve">等内容的教学说明，也可以作为学生开展结构辨识、系统建模和验证实验的综合案例。</w:t>
      </w:r>
    </w:p>
    <w:bookmarkEnd w:id="75"/>
    <w:bookmarkStart w:id="76" w:name="小结"/>
    <w:p>
      <w:pPr>
        <w:pStyle w:val="Heading1"/>
      </w:pPr>
      <w:r>
        <w:t xml:space="preserve">小结</w:t>
      </w:r>
    </w:p>
    <w:p>
      <w:pPr>
        <w:pStyle w:val="FirstParagraph"/>
      </w:pPr>
      <w:r>
        <w:t xml:space="preserve">本案例以实物证据为基础，综合采用系统功能分解、电池等效模型、电磁执行理论、半导体激光传播理论和测试验证方法，对95式外形仿真训练模型进行了教材化整理。需要再次强调：实物可以确认的是电池、电路板、线束、管状组件和安装结构；电磁铁与激光器的具体型号、参数和安装位置仍需实测确认。教材中采用的公式均为通用物理和工程模型，并明确了适用条件，避免将近似关系误写为对实物参数的确定结论。</w:t>
      </w:r>
    </w:p>
    <w:bookmarkEnd w:id="76"/>
    <w:bookmarkStart w:id="77" w:name="参考文献"/>
    <w:p>
      <w:pPr>
        <w:pStyle w:val="Heading1"/>
      </w:pPr>
      <w:r>
        <w:t xml:space="preserve">参考文献</w:t>
      </w:r>
    </w:p>
    <w:p>
      <w:pPr>
        <w:pStyle w:val="FirstParagraph"/>
      </w:pPr>
      <w:r>
        <w:t xml:space="preserve">[1] MIT OpenCourseWare. Modeling and Simulation of Dynamic Systems: Solenoid &amp; Co-energy[EB/OL]. Massachusetts Institute of Technology.</w:t>
      </w:r>
      <w:r>
        <w:br/>
      </w:r>
      <w:r>
        <w:t xml:space="preserve">[2] Massachusetts Institute of Technology. Introduction to Electric Power Systems, Chapter 8: Electromechanical Energy Conversion[EB/OL].</w:t>
      </w:r>
      <w:r>
        <w:br/>
      </w:r>
      <w:r>
        <w:t xml:space="preserve">[3] XU Y, JONES B. A simple means of predicting the dynamic response of electromagnetic actuators[J].</w:t>
      </w:r>
      <w:r>
        <w:t xml:space="preserve"> </w:t>
      </w:r>
      <w:r>
        <w:rPr>
          <w:iCs/>
          <w:i/>
        </w:rPr>
        <w:t xml:space="preserve">Mechatronics</w:t>
      </w:r>
      <w:r>
        <w:t xml:space="preserve">, 1997, 7(7): 589-598. DOI:10.1016/S0957-4158(97)00028-7.</w:t>
      </w:r>
      <w:r>
        <w:br/>
      </w:r>
      <w:r>
        <w:t xml:space="preserve">[4] LIU Q, BO H, QIN B. Experimental study and numerical analysis on electromagnetic force of direct action solenoid valve[J].</w:t>
      </w:r>
      <w:r>
        <w:t xml:space="preserve"> </w:t>
      </w:r>
      <w:r>
        <w:rPr>
          <w:iCs/>
          <w:i/>
        </w:rPr>
        <w:t xml:space="preserve">Nuclear Engineering and Design</w:t>
      </w:r>
      <w:r>
        <w:t xml:space="preserve">, 2010, 240(12): 4031-4036. DOI:10.1016/j.nucengdes.2010.09.028.</w:t>
      </w:r>
      <w:r>
        <w:br/>
      </w:r>
      <w:r>
        <w:t xml:space="preserve">[5] ZHAO J, WANG M, WANG Z, et al. Different boost voltage effects on the dynamic response and energy losses of high-speed solenoid valves[J].</w:t>
      </w:r>
      <w:r>
        <w:t xml:space="preserve"> </w:t>
      </w:r>
      <w:r>
        <w:rPr>
          <w:iCs/>
          <w:i/>
        </w:rPr>
        <w:t xml:space="preserve">Applied Thermal Engineering</w:t>
      </w:r>
      <w:r>
        <w:t xml:space="preserve">, 2017, 123: 1494-1503. DOI:10.1016/j.applthermaleng.2017.05.117.</w:t>
      </w:r>
      <w:r>
        <w:br/>
      </w:r>
      <w:r>
        <w:t xml:space="preserve">[6] LIU P, ZHANG R, ZHAO Q, PENG S. Eddy Effect and Dynamic Response of High-Speed Solenoid Valve with Composite Iron Core[J].</w:t>
      </w:r>
      <w:r>
        <w:t xml:space="preserve"> </w:t>
      </w:r>
      <w:r>
        <w:rPr>
          <w:iCs/>
          <w:i/>
        </w:rPr>
        <w:t xml:space="preserve">Materials</w:t>
      </w:r>
      <w:r>
        <w:t xml:space="preserve">, 2023, 16(17): 5823. DOI:10.3390/ma16175823.</w:t>
      </w:r>
      <w:r>
        <w:br/>
      </w:r>
      <w:r>
        <w:t xml:space="preserve">[7] COLDREN L A, CORZINE S W, MASHANOVITCH M L.</w:t>
      </w:r>
      <w:r>
        <w:t xml:space="preserve"> </w:t>
      </w:r>
      <w:r>
        <w:rPr>
          <w:iCs/>
          <w:i/>
        </w:rPr>
        <w:t xml:space="preserve">Diode Lasers and Photonic Integrated Circuits</w:t>
      </w:r>
      <w:r>
        <w:t xml:space="preserve">[M]. 2nd ed. Hoboken: Wiley, 2012. DOI:10.1002/9781118148167.</w:t>
      </w:r>
      <w:r>
        <w:br/>
      </w:r>
      <w:r>
        <w:t xml:space="preserve">[8] XU Q, HAN Y, CUI Z. Characteristic of laser diode beam propagation through a collimating lens[J].</w:t>
      </w:r>
      <w:r>
        <w:t xml:space="preserve"> </w:t>
      </w:r>
      <w:r>
        <w:rPr>
          <w:iCs/>
          <w:i/>
        </w:rPr>
        <w:t xml:space="preserve">Applied Optics</w:t>
      </w:r>
      <w:r>
        <w:t xml:space="preserve">, 2010, 49(3): 549-553. DOI:10.1364/AO.49.000549.</w:t>
      </w:r>
      <w:r>
        <w:br/>
      </w:r>
      <w:r>
        <w:t xml:space="preserve">[9] KOGELNIK H, LI T. Laser beams and resonators[J].</w:t>
      </w:r>
      <w:r>
        <w:t xml:space="preserve"> </w:t>
      </w:r>
      <w:r>
        <w:rPr>
          <w:iCs/>
          <w:i/>
        </w:rPr>
        <w:t xml:space="preserve">Applied Optics</w:t>
      </w:r>
      <w:r>
        <w:t xml:space="preserve">, 1966, 5(10): 1550-1567. DOI:10.1364/AO.5.001550.</w:t>
      </w:r>
      <w:r>
        <w:br/>
      </w:r>
      <w:r>
        <w:t xml:space="preserve">[10] ISO. ISO 11146-1:2021 Lasers and laser-related equipment—Test methods for laser beam widths, divergence angles and beam propagation ratios—Part 1: Stigmatic and simple astigmatic beams[S]. Geneva: ISO, 2021.</w:t>
      </w:r>
      <w:r>
        <w:br/>
      </w:r>
      <w:r>
        <w:t xml:space="preserve">[11] 国家市场监督管理总局, 国家标准化管理委员会. GB/T 7247.1—2024 激光产品的安全 第1部分：设备分类和要求[S]. 北京: 中国标准出版社, 2024.</w:t>
      </w:r>
      <w:r>
        <w:br/>
      </w:r>
      <w:r>
        <w:t xml:space="preserve">[12] 国家市场监督管理总局, 国家标准化管理委员会. GB 31241—2022 便携式电子产品用锂离子电池和电池组 安全技术规范[S]. 北京: 中国标准出版社, 2022.</w:t>
      </w:r>
      <w:r>
        <w:br/>
      </w:r>
      <w:r>
        <w:t xml:space="preserve">[13] XIONG R, CAO J, YU Q, et al. Critical Review on the Battery State of Charge Estimation Methods for Electric Vehicles[J].</w:t>
      </w:r>
      <w:r>
        <w:t xml:space="preserve"> </w:t>
      </w:r>
      <w:r>
        <w:rPr>
          <w:iCs/>
          <w:i/>
        </w:rPr>
        <w:t xml:space="preserve">IEEE Access</w:t>
      </w:r>
      <w:r>
        <w:t xml:space="preserve">, 2018, 6: 1832-1843.</w:t>
      </w:r>
      <w:r>
        <w:br/>
      </w:r>
      <w:r>
        <w:t xml:space="preserve">[14] ZHANG C, ALLAIRE D, CAGLIANO E, et al. Experimental Data-Driven Parameter Identification and State of Charge Estimation for a Li-Ion Battery Equivalent Circuit Model[J].</w:t>
      </w:r>
      <w:r>
        <w:t xml:space="preserve"> </w:t>
      </w:r>
      <w:r>
        <w:rPr>
          <w:iCs/>
          <w:i/>
        </w:rPr>
        <w:t xml:space="preserve">Energies</w:t>
      </w:r>
      <w:r>
        <w:t xml:space="preserve">, 2018, 11(5): 1033.</w:t>
      </w:r>
      <w:r>
        <w:br/>
      </w:r>
      <w:r>
        <w:t xml:space="preserve">[15] CHOI S, KUCHENBECKER K J. Vibrotactile display: Perception, technology, and applications[J].</w:t>
      </w:r>
      <w:r>
        <w:t xml:space="preserve"> </w:t>
      </w:r>
      <w:r>
        <w:rPr>
          <w:iCs/>
          <w:i/>
        </w:rPr>
        <w:t xml:space="preserve">Proceedings of the IEEE</w:t>
      </w:r>
      <w:r>
        <w:t xml:space="preserve">, 2013, 101(9): 2093-2104.</w:t>
      </w:r>
      <w:r>
        <w:br/>
      </w:r>
      <w:r>
        <w:t xml:space="preserve">[16] CULBERTSON H, SCHORR S B, OKAMURA A M. Haptics: The present and future of artificial touch sensation[J].</w:t>
      </w:r>
      <w:r>
        <w:t xml:space="preserve"> </w:t>
      </w:r>
      <w:r>
        <w:rPr>
          <w:iCs/>
          <w:i/>
        </w:rPr>
        <w:t xml:space="preserve">Annual Review of Control, Robotics, and Autonomous Systems</w:t>
      </w:r>
      <w:r>
        <w:t xml:space="preserve">, 2018, 1: 385-409.</w:t>
      </w:r>
    </w:p>
    <w:bookmarkEnd w:id="77"/>
    <w:sectPr>
      <w:footerReference w:type="default" r:id="rId9"/>
      <w:pgMar w:top="1361" w:bottom="1304" w:left="153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黑体" w:hAnsi="黑体" w:eastAsia="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楷体" w:hAnsi="楷体" w:eastAsia="楷体"/>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3" Type="http://schemas.openxmlformats.org/officeDocument/2006/relationships/image" Target="media/rId33.png"/><Relationship Id="rId38" Type="http://schemas.openxmlformats.org/officeDocument/2006/relationships/image" Target="media/rId38.png"/><Relationship Id="rId42" Type="http://schemas.openxmlformats.org/officeDocument/2006/relationships/image" Target="media/rId42.png"/><Relationship Id="rId48" Type="http://schemas.openxmlformats.org/officeDocument/2006/relationships/image" Target="media/rId48.png"/><Relationship Id="rId53" Type="http://schemas.openxmlformats.org/officeDocument/2006/relationships/image" Target="media/rId53.png"/><Relationship Id="rId57" Type="http://schemas.openxmlformats.org/officeDocument/2006/relationships/image" Target="media/rId57.png"/><Relationship Id="rId63" Type="http://schemas.openxmlformats.org/officeDocument/2006/relationships/image" Target="media/rId63.png"/><Relationship Id="rId67" Type="http://schemas.openxmlformats.org/officeDocument/2006/relationships/image" Target="media/rId67.png"/><Relationship Id="rId71" Type="http://schemas.openxmlformats.org/officeDocument/2006/relationships/image" Target="media/rId7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案例：95式外形仿真训练模型的机电光系统结构与工作机理</dc:title>
  <dc:creator/>
  <dc:language>zh-CN</dc:language>
  <cp:keywords/>
  <dcterms:created xsi:type="dcterms:W3CDTF">2026-08-25T08:27:43Z</dcterms:created>
  <dcterms:modified xsi:type="dcterms:W3CDTF">2026-08-25T08:27:43Z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——《国防教育概论》国防教育装备案例书稿</vt:lpwstr>
  </property>
</Properties>
</file>