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95式电磁—激光仿真训练模型</w:t>
        <w:br/>
        <w:t>关键模块结构、理论模型与工作原理分析</w:t>
      </w:r>
    </w:p>
    <w:p>
      <w:pPr>
        <w:jc w:val="both"/>
      </w:pPr>
      <w:r>
        <w:rPr>
          <w:rFonts w:ascii="黑体" w:hAnsi="黑体" w:eastAsia="黑体"/>
          <w:b/>
          <w:sz w:val="21"/>
        </w:rPr>
        <w:t>摘  要：</w:t>
      </w:r>
      <w:r>
        <w:rPr>
          <w:rFonts w:ascii="宋体" w:hAnsi="宋体" w:eastAsia="宋体"/>
          <w:b w:val="0"/>
          <w:sz w:val="21"/>
        </w:rPr>
        <w:t>本文以现有95式外形仿真训练模型的拆解照片、锂电池组件、线束连接以及管状执行总成为基础，对系统结构和关键工作机理进行分析。实物能够确认装置采用电池供能，并包含保护/管理电路、主电源线、多芯线束、前端管状组件及安装定位结构；电磁铁和激光器的具体型号及内部安装位置尚未完全拆解确认。为避免将功能推断写成既定事实，本文把电磁执行与激光输出作为功能性模型处理，重点对磁路、电磁力、电气瞬态、机械运动、线圈温升、半导体激光电光转换、高斯光束传播和光轴偏差等关系进行校核和完善，并给出公式适用条件与测试验证方法。</w:t>
      </w:r>
    </w:p>
    <w:p>
      <w:r>
        <w:rPr>
          <w:rFonts w:ascii="黑体" w:hAnsi="黑体" w:eastAsia="黑体"/>
          <w:b/>
          <w:sz w:val="21"/>
        </w:rPr>
        <w:t>关键词：</w:t>
      </w:r>
      <w:r>
        <w:rPr>
          <w:rFonts w:ascii="宋体" w:hAnsi="宋体" w:eastAsia="宋体"/>
          <w:b w:val="0"/>
          <w:sz w:val="21"/>
        </w:rPr>
        <w:t>仿真训练模型；电磁铁；磁共能；机电耦合；半导体激光器；高斯光束</w:t>
      </w:r>
    </w:p>
    <w:p>
      <w:pPr>
        <w:keepNext/>
        <w:spacing w:before="180" w:after="80"/>
      </w:pPr>
      <w:r>
        <w:rPr>
          <w:rFonts w:ascii="黑体" w:hAnsi="黑体" w:eastAsia="黑体"/>
          <w:b/>
          <w:sz w:val="30"/>
        </w:rPr>
        <w:t>1 引言</w:t>
      </w:r>
    </w:p>
    <w:p>
      <w:pPr>
        <w:spacing w:line="360" w:lineRule="auto" w:after="60"/>
        <w:ind w:firstLine="420"/>
        <w:jc w:val="both"/>
      </w:pPr>
      <w:r>
        <w:rPr>
          <w:rFonts w:ascii="宋体" w:hAnsi="宋体" w:eastAsia="宋体"/>
          <w:b w:val="0"/>
          <w:sz w:val="21"/>
        </w:rPr>
        <w:t>电磁执行机构的动态响应本质上是电路、磁场与机械运动相互耦合的过程。已有研究表明，电磁吸力与磁路结构、气隙和线圈电流密切相关，动态响应还受到运动质量、弹簧预紧、涡流和焦耳热等因素影响。国内关于直流电磁铁、高速电磁阀以及合闸电磁铁的研究已对这些关系进行了试验或有限元验证</w:t>
      </w:r>
      <w:r>
        <w:rPr>
          <w:rFonts w:ascii="Times New Roman" w:hAnsi="Times New Roman"/>
          <w:sz w:val="21"/>
        </w:rPr>
        <w:t>[1-5]。</w:t>
      </w:r>
    </w:p>
    <w:p>
      <w:pPr>
        <w:spacing w:line="360" w:lineRule="auto" w:after="60"/>
        <w:ind w:firstLine="420"/>
        <w:jc w:val="both"/>
      </w:pPr>
      <w:r>
        <w:rPr>
          <w:rFonts w:ascii="宋体" w:hAnsi="宋体" w:eastAsia="宋体"/>
          <w:b w:val="0"/>
          <w:sz w:val="21"/>
        </w:rPr>
        <w:t>国外研究进一步从磁阻参数识别、多物理场建模、驱动电压和涡流损耗等方面对电磁执行器进行了系统分析，其结论能够为本文的功能性建模提供理论参照</w:t>
      </w:r>
      <w:r>
        <w:rPr>
          <w:rFonts w:ascii="Times New Roman" w:hAnsi="Times New Roman"/>
          <w:sz w:val="21"/>
        </w:rPr>
        <w:t>[6-9]。</w:t>
      </w:r>
    </w:p>
    <w:p>
      <w:pPr>
        <w:spacing w:line="360" w:lineRule="auto" w:after="60"/>
        <w:ind w:firstLine="420"/>
        <w:jc w:val="both"/>
      </w:pPr>
      <w:r>
        <w:rPr>
          <w:rFonts w:ascii="宋体" w:hAnsi="宋体" w:eastAsia="宋体"/>
          <w:b w:val="0"/>
          <w:sz w:val="21"/>
        </w:rPr>
        <w:t>需要强调的是，上述文献研究对象多为电磁铁或高速电磁阀，而非本文所分析的具体训练模型。因此，本文只借用其中可迁移的电磁学和动力学规律，不将文献中的尺寸、材料或性能参数直接套用于本实物。同类推拉式电磁铁制造商资料仅用于说明典型结构形式</w:t>
      </w:r>
      <w:r>
        <w:rPr>
          <w:rFonts w:ascii="Times New Roman" w:hAnsi="Times New Roman"/>
          <w:sz w:val="21"/>
        </w:rPr>
        <w:t>[10]。</w:t>
      </w:r>
    </w:p>
    <w:p>
      <w:pPr>
        <w:keepNext/>
        <w:spacing w:before="180" w:after="80"/>
      </w:pPr>
      <w:r>
        <w:rPr>
          <w:rFonts w:ascii="黑体" w:hAnsi="黑体" w:eastAsia="黑体"/>
          <w:b/>
          <w:sz w:val="30"/>
        </w:rPr>
        <w:t>2 系统总体组成与功能布置</w:t>
      </w:r>
    </w:p>
    <w:p>
      <w:pPr>
        <w:spacing w:line="360" w:lineRule="auto" w:after="60"/>
        <w:ind w:firstLine="420"/>
        <w:jc w:val="both"/>
      </w:pPr>
      <w:r>
        <w:rPr>
          <w:rFonts w:ascii="宋体" w:hAnsi="宋体" w:eastAsia="宋体"/>
          <w:b w:val="0"/>
          <w:sz w:val="21"/>
        </w:rPr>
        <w:t>根据现有照片，可以确认的实物包括外部承载骨架、弹匣形电池仓、圆柱锂电池组及保护板、主电源线与检测线束、管状执行总成、前端金属管和安装支架。由此可将系统抽象为电源与保护、输入与控制、电磁执行、激光输出以及结构定位五个功能层。</w:t>
      </w:r>
    </w:p>
    <w:p>
      <w:pPr>
        <w:jc w:val="center"/>
      </w:pPr>
      <w:r>
        <w:drawing>
          <wp:inline xmlns:a="http://schemas.openxmlformats.org/drawingml/2006/main" xmlns:pic="http://schemas.openxmlformats.org/drawingml/2006/picture">
            <wp:extent cx="5508000" cy="1949372"/>
            <wp:docPr id="1" name="Picture 1"/>
            <wp:cNvGraphicFramePr>
              <a:graphicFrameLocks noChangeAspect="1"/>
            </wp:cNvGraphicFramePr>
            <a:graphic>
              <a:graphicData uri="http://schemas.openxmlformats.org/drawingml/2006/picture">
                <pic:pic>
                  <pic:nvPicPr>
                    <pic:cNvPr id="0" name="fig01_system.png"/>
                    <pic:cNvPicPr/>
                  </pic:nvPicPr>
                  <pic:blipFill>
                    <a:blip r:embed="rId10"/>
                    <a:stretch>
                      <a:fillRect/>
                    </a:stretch>
                  </pic:blipFill>
                  <pic:spPr>
                    <a:xfrm>
                      <a:off x="0" y="0"/>
                      <a:ext cx="5508000" cy="1949372"/>
                    </a:xfrm>
                    <a:prstGeom prst="rect"/>
                  </pic:spPr>
                </pic:pic>
              </a:graphicData>
            </a:graphic>
          </wp:inline>
        </w:drawing>
      </w:r>
    </w:p>
    <w:p>
      <w:pPr>
        <w:jc w:val="center"/>
      </w:pPr>
      <w:r>
        <w:rPr>
          <w:rFonts w:ascii="宋体" w:hAnsi="宋体" w:eastAsia="宋体"/>
          <w:b w:val="0"/>
          <w:sz w:val="19"/>
        </w:rPr>
        <w:t>图1  系统总体能量与信号传递关系</w:t>
      </w:r>
    </w:p>
    <w:p>
      <w:pPr>
        <w:jc w:val="center"/>
      </w:pPr>
      <w:r>
        <w:drawing>
          <wp:inline xmlns:a="http://schemas.openxmlformats.org/drawingml/2006/main" xmlns:pic="http://schemas.openxmlformats.org/drawingml/2006/picture">
            <wp:extent cx="5508000" cy="1738373"/>
            <wp:docPr id="2" name="Picture 2"/>
            <wp:cNvGraphicFramePr>
              <a:graphicFrameLocks noChangeAspect="1"/>
            </wp:cNvGraphicFramePr>
            <a:graphic>
              <a:graphicData uri="http://schemas.openxmlformats.org/drawingml/2006/picture">
                <pic:pic>
                  <pic:nvPicPr>
                    <pic:cNvPr id="0" name="fig02_layout.png"/>
                    <pic:cNvPicPr/>
                  </pic:nvPicPr>
                  <pic:blipFill>
                    <a:blip r:embed="rId11"/>
                    <a:stretch>
                      <a:fillRect/>
                    </a:stretch>
                  </pic:blipFill>
                  <pic:spPr>
                    <a:xfrm>
                      <a:off x="0" y="0"/>
                      <a:ext cx="5508000" cy="1738373"/>
                    </a:xfrm>
                    <a:prstGeom prst="rect"/>
                  </pic:spPr>
                </pic:pic>
              </a:graphicData>
            </a:graphic>
          </wp:inline>
        </w:drawing>
      </w:r>
    </w:p>
    <w:p>
      <w:pPr>
        <w:jc w:val="center"/>
      </w:pPr>
      <w:r>
        <w:rPr>
          <w:rFonts w:ascii="宋体" w:hAnsi="宋体" w:eastAsia="宋体"/>
          <w:b w:val="0"/>
          <w:sz w:val="19"/>
        </w:rPr>
        <w:t>图2  模型内部功能区二维布置示意图</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
              <w:rPr>
                <w:rFonts w:ascii="宋体" w:hAnsi="宋体" w:eastAsia="宋体"/>
                <w:b/>
                <w:sz w:val="19"/>
              </w:rPr>
              <w:t>模块</w:t>
            </w:r>
          </w:p>
        </w:tc>
        <w:tc>
          <w:tcPr>
            <w:tcW w:type="dxa" w:w="3135"/>
            <w:vAlign w:val="center"/>
          </w:tcPr>
          <w:p>
            <w:pPr>
              <w:jc w:val="center"/>
            </w:pPr>
            <w:r/>
            <w:r>
              <w:rPr>
                <w:rFonts w:ascii="宋体" w:hAnsi="宋体" w:eastAsia="宋体"/>
                <w:b/>
                <w:sz w:val="19"/>
              </w:rPr>
              <w:t>实物依据</w:t>
            </w:r>
          </w:p>
        </w:tc>
        <w:tc>
          <w:tcPr>
            <w:tcW w:type="dxa" w:w="3135"/>
            <w:vAlign w:val="center"/>
          </w:tcPr>
          <w:p>
            <w:pPr>
              <w:jc w:val="center"/>
            </w:pPr>
            <w:r/>
            <w:r>
              <w:rPr>
                <w:rFonts w:ascii="宋体" w:hAnsi="宋体" w:eastAsia="宋体"/>
                <w:b/>
                <w:sz w:val="19"/>
              </w:rPr>
              <w:t>功能判断</w:t>
            </w:r>
          </w:p>
        </w:tc>
      </w:tr>
      <w:tr>
        <w:tc>
          <w:tcPr>
            <w:tcW w:type="dxa" w:w="3135"/>
            <w:vAlign w:val="center"/>
          </w:tcPr>
          <w:p>
            <w:pPr>
              <w:jc w:val="center"/>
            </w:pPr>
            <w:r/>
            <w:r>
              <w:rPr>
                <w:rFonts w:ascii="宋体" w:hAnsi="宋体" w:eastAsia="宋体"/>
                <w:b w:val="0"/>
                <w:sz w:val="18"/>
              </w:rPr>
              <w:t>锂电池与BMS</w:t>
            </w:r>
          </w:p>
        </w:tc>
        <w:tc>
          <w:tcPr>
            <w:tcW w:type="dxa" w:w="3135"/>
            <w:vAlign w:val="center"/>
          </w:tcPr>
          <w:p>
            <w:pPr>
              <w:jc w:val="center"/>
            </w:pPr>
            <w:r/>
            <w:r>
              <w:rPr>
                <w:rFonts w:ascii="宋体" w:hAnsi="宋体" w:eastAsia="宋体"/>
                <w:b w:val="0"/>
                <w:sz w:val="18"/>
              </w:rPr>
              <w:t>圆柱电芯、主电源线、检测线、保护板</w:t>
            </w:r>
          </w:p>
        </w:tc>
        <w:tc>
          <w:tcPr>
            <w:tcW w:type="dxa" w:w="3135"/>
            <w:vAlign w:val="center"/>
          </w:tcPr>
          <w:p>
            <w:pPr>
              <w:jc w:val="center"/>
            </w:pPr>
            <w:r/>
            <w:r>
              <w:rPr>
                <w:rFonts w:ascii="宋体" w:hAnsi="宋体" w:eastAsia="宋体"/>
                <w:b w:val="0"/>
                <w:sz w:val="18"/>
              </w:rPr>
              <w:t>直流供电与电池保护</w:t>
            </w:r>
          </w:p>
        </w:tc>
      </w:tr>
      <w:tr>
        <w:tc>
          <w:tcPr>
            <w:tcW w:type="dxa" w:w="3135"/>
            <w:vAlign w:val="center"/>
          </w:tcPr>
          <w:p>
            <w:pPr>
              <w:jc w:val="center"/>
            </w:pPr>
            <w:r/>
            <w:r>
              <w:rPr>
                <w:rFonts w:ascii="宋体" w:hAnsi="宋体" w:eastAsia="宋体"/>
                <w:b w:val="0"/>
                <w:sz w:val="18"/>
              </w:rPr>
              <w:t>控制输入</w:t>
            </w:r>
          </w:p>
        </w:tc>
        <w:tc>
          <w:tcPr>
            <w:tcW w:type="dxa" w:w="3135"/>
            <w:vAlign w:val="center"/>
          </w:tcPr>
          <w:p>
            <w:pPr>
              <w:jc w:val="center"/>
            </w:pPr>
            <w:r/>
            <w:r>
              <w:rPr>
                <w:rFonts w:ascii="宋体" w:hAnsi="宋体" w:eastAsia="宋体"/>
                <w:b w:val="0"/>
                <w:sz w:val="18"/>
              </w:rPr>
              <w:t>扳机/模式区域及线束</w:t>
            </w:r>
          </w:p>
        </w:tc>
        <w:tc>
          <w:tcPr>
            <w:tcW w:type="dxa" w:w="3135"/>
            <w:vAlign w:val="center"/>
          </w:tcPr>
          <w:p>
            <w:pPr>
              <w:jc w:val="center"/>
            </w:pPr>
            <w:r/>
            <w:r>
              <w:rPr>
                <w:rFonts w:ascii="宋体" w:hAnsi="宋体" w:eastAsia="宋体"/>
                <w:b w:val="0"/>
                <w:sz w:val="18"/>
              </w:rPr>
              <w:t>产生触发和模式信号</w:t>
            </w:r>
          </w:p>
        </w:tc>
      </w:tr>
      <w:tr>
        <w:tc>
          <w:tcPr>
            <w:tcW w:type="dxa" w:w="3135"/>
            <w:vAlign w:val="center"/>
          </w:tcPr>
          <w:p>
            <w:pPr>
              <w:jc w:val="center"/>
            </w:pPr>
            <w:r/>
            <w:r>
              <w:rPr>
                <w:rFonts w:ascii="宋体" w:hAnsi="宋体" w:eastAsia="宋体"/>
                <w:b w:val="0"/>
                <w:sz w:val="18"/>
              </w:rPr>
              <w:t>电磁执行区</w:t>
            </w:r>
          </w:p>
        </w:tc>
        <w:tc>
          <w:tcPr>
            <w:tcW w:type="dxa" w:w="3135"/>
            <w:vAlign w:val="center"/>
          </w:tcPr>
          <w:p>
            <w:pPr>
              <w:jc w:val="center"/>
            </w:pPr>
            <w:r/>
            <w:r>
              <w:rPr>
                <w:rFonts w:ascii="宋体" w:hAnsi="宋体" w:eastAsia="宋体"/>
                <w:b w:val="0"/>
                <w:sz w:val="18"/>
              </w:rPr>
              <w:t>管状总成粗径包覆段，待拆解确认</w:t>
            </w:r>
          </w:p>
        </w:tc>
        <w:tc>
          <w:tcPr>
            <w:tcW w:type="dxa" w:w="3135"/>
            <w:vAlign w:val="center"/>
          </w:tcPr>
          <w:p>
            <w:pPr>
              <w:jc w:val="center"/>
            </w:pPr>
            <w:r/>
            <w:r>
              <w:rPr>
                <w:rFonts w:ascii="宋体" w:hAnsi="宋体" w:eastAsia="宋体"/>
                <w:b w:val="0"/>
                <w:sz w:val="18"/>
              </w:rPr>
              <w:t>产生短行程机械反馈</w:t>
            </w:r>
          </w:p>
        </w:tc>
      </w:tr>
      <w:tr>
        <w:tc>
          <w:tcPr>
            <w:tcW w:type="dxa" w:w="3135"/>
            <w:vAlign w:val="center"/>
          </w:tcPr>
          <w:p>
            <w:pPr>
              <w:jc w:val="center"/>
            </w:pPr>
            <w:r/>
            <w:r>
              <w:rPr>
                <w:rFonts w:ascii="宋体" w:hAnsi="宋体" w:eastAsia="宋体"/>
                <w:b w:val="0"/>
                <w:sz w:val="18"/>
              </w:rPr>
              <w:t>激光输出区</w:t>
            </w:r>
          </w:p>
        </w:tc>
        <w:tc>
          <w:tcPr>
            <w:tcW w:type="dxa" w:w="3135"/>
            <w:vAlign w:val="center"/>
          </w:tcPr>
          <w:p>
            <w:pPr>
              <w:jc w:val="center"/>
            </w:pPr>
            <w:r/>
            <w:r>
              <w:rPr>
                <w:rFonts w:ascii="宋体" w:hAnsi="宋体" w:eastAsia="宋体"/>
                <w:b w:val="0"/>
                <w:sz w:val="18"/>
              </w:rPr>
              <w:t>前端轴向管件，待拆解确认</w:t>
            </w:r>
          </w:p>
        </w:tc>
        <w:tc>
          <w:tcPr>
            <w:tcW w:type="dxa" w:w="3135"/>
            <w:vAlign w:val="center"/>
          </w:tcPr>
          <w:p>
            <w:pPr>
              <w:jc w:val="center"/>
            </w:pPr>
            <w:r/>
            <w:r>
              <w:rPr>
                <w:rFonts w:ascii="宋体" w:hAnsi="宋体" w:eastAsia="宋体"/>
                <w:b w:val="0"/>
                <w:sz w:val="18"/>
              </w:rPr>
              <w:t>提供方向性光学反馈</w:t>
            </w:r>
          </w:p>
        </w:tc>
      </w:tr>
      <w:tr>
        <w:tc>
          <w:tcPr>
            <w:tcW w:type="dxa" w:w="3135"/>
            <w:vAlign w:val="center"/>
          </w:tcPr>
          <w:p>
            <w:pPr>
              <w:jc w:val="center"/>
            </w:pPr>
            <w:r/>
            <w:r>
              <w:rPr>
                <w:rFonts w:ascii="宋体" w:hAnsi="宋体" w:eastAsia="宋体"/>
                <w:b w:val="0"/>
                <w:sz w:val="18"/>
              </w:rPr>
              <w:t>安装与导向</w:t>
            </w:r>
          </w:p>
        </w:tc>
        <w:tc>
          <w:tcPr>
            <w:tcW w:type="dxa" w:w="3135"/>
            <w:vAlign w:val="center"/>
          </w:tcPr>
          <w:p>
            <w:pPr>
              <w:jc w:val="center"/>
            </w:pPr>
            <w:r/>
            <w:r>
              <w:rPr>
                <w:rFonts w:ascii="宋体" w:hAnsi="宋体" w:eastAsia="宋体"/>
                <w:b w:val="0"/>
                <w:sz w:val="18"/>
              </w:rPr>
              <w:t>套筒、台肩、支架和孔位</w:t>
            </w:r>
          </w:p>
        </w:tc>
        <w:tc>
          <w:tcPr>
            <w:tcW w:type="dxa" w:w="3135"/>
            <w:vAlign w:val="center"/>
          </w:tcPr>
          <w:p>
            <w:pPr>
              <w:jc w:val="center"/>
            </w:pPr>
            <w:r/>
            <w:r>
              <w:rPr>
                <w:rFonts w:ascii="宋体" w:hAnsi="宋体" w:eastAsia="宋体"/>
                <w:b w:val="0"/>
                <w:sz w:val="18"/>
              </w:rPr>
              <w:t>保证轴向定位和重复装配</w:t>
            </w:r>
          </w:p>
        </w:tc>
      </w:tr>
    </w:tbl>
    <w:p>
      <w:pPr>
        <w:jc w:val="center"/>
      </w:pPr>
      <w:r>
        <w:rPr>
          <w:rFonts w:ascii="宋体" w:hAnsi="宋体" w:eastAsia="宋体"/>
          <w:b w:val="0"/>
          <w:sz w:val="19"/>
        </w:rPr>
        <w:t>表1  实物特征与功能判断</w:t>
      </w:r>
    </w:p>
    <w:p>
      <w:pPr>
        <w:keepNext/>
        <w:spacing w:before="180" w:after="80"/>
      </w:pPr>
      <w:r>
        <w:rPr>
          <w:rFonts w:ascii="黑体" w:hAnsi="黑体" w:eastAsia="黑体"/>
          <w:b/>
          <w:sz w:val="30"/>
        </w:rPr>
        <w:t>3 电磁执行模块理论模型</w:t>
      </w:r>
    </w:p>
    <w:p>
      <w:pPr>
        <w:keepNext/>
        <w:spacing w:before="180" w:after="80"/>
      </w:pPr>
      <w:r>
        <w:rPr>
          <w:rFonts w:ascii="黑体" w:hAnsi="黑体" w:eastAsia="黑体"/>
          <w:b/>
          <w:sz w:val="25"/>
        </w:rPr>
        <w:t>3.1 结构组成与磁路模型</w:t>
      </w:r>
    </w:p>
    <w:p>
      <w:pPr>
        <w:spacing w:line="360" w:lineRule="auto" w:after="60"/>
        <w:ind w:firstLine="420"/>
        <w:jc w:val="both"/>
      </w:pPr>
      <w:r>
        <w:rPr>
          <w:rFonts w:ascii="宋体" w:hAnsi="宋体" w:eastAsia="宋体"/>
          <w:b w:val="0"/>
          <w:sz w:val="21"/>
        </w:rPr>
        <w:t>典型直线电磁铁由励磁线圈、固定铁芯、动铁芯或衔铁、磁轭、导向结构、工作气隙和复位弹簧组成。线圈通电后建立磁通，衔铁受到朝向磁阻减小方向的电磁力；当电磁力超过弹簧预紧、摩擦及外部负载后，衔铁开始运动。</w:t>
      </w:r>
    </w:p>
    <w:p>
      <w:pPr>
        <w:jc w:val="center"/>
      </w:pPr>
      <w:r>
        <w:drawing>
          <wp:inline xmlns:a="http://schemas.openxmlformats.org/drawingml/2006/main" xmlns:pic="http://schemas.openxmlformats.org/drawingml/2006/picture">
            <wp:extent cx="5508000" cy="2516647"/>
            <wp:docPr id="3" name="Picture 3"/>
            <wp:cNvGraphicFramePr>
              <a:graphicFrameLocks noChangeAspect="1"/>
            </wp:cNvGraphicFramePr>
            <a:graphic>
              <a:graphicData uri="http://schemas.openxmlformats.org/drawingml/2006/picture">
                <pic:pic>
                  <pic:nvPicPr>
                    <pic:cNvPr id="0" name="fig03_solenoid.png"/>
                    <pic:cNvPicPr/>
                  </pic:nvPicPr>
                  <pic:blipFill>
                    <a:blip r:embed="rId12"/>
                    <a:stretch>
                      <a:fillRect/>
                    </a:stretch>
                  </pic:blipFill>
                  <pic:spPr>
                    <a:xfrm>
                      <a:off x="0" y="0"/>
                      <a:ext cx="5508000" cy="2516647"/>
                    </a:xfrm>
                    <a:prstGeom prst="rect"/>
                  </pic:spPr>
                </pic:pic>
              </a:graphicData>
            </a:graphic>
          </wp:inline>
        </w:drawing>
      </w:r>
    </w:p>
    <w:p>
      <w:pPr>
        <w:jc w:val="center"/>
      </w:pPr>
      <w:r>
        <w:rPr>
          <w:rFonts w:ascii="宋体" w:hAnsi="宋体" w:eastAsia="宋体"/>
          <w:b w:val="0"/>
          <w:sz w:val="19"/>
        </w:rPr>
        <w:t>图3  直线电磁铁结构与动作原理示意图</w:t>
      </w:r>
    </w:p>
    <w:p>
      <w:pPr>
        <w:spacing w:line="360" w:lineRule="auto" w:after="60"/>
        <w:ind w:firstLine="420"/>
        <w:jc w:val="both"/>
      </w:pPr>
      <w:r>
        <w:rPr>
          <w:rFonts w:ascii="宋体" w:hAnsi="宋体" w:eastAsia="宋体"/>
          <w:b w:val="0"/>
          <w:sz w:val="21"/>
        </w:rPr>
        <w:t>对于由多个材料区段组成的简化磁路，总磁阻宜写成各段磁阻之和，而不宜直接把整个磁路用单一平均磁导率处理：</w:t>
      </w:r>
    </w:p>
    <w:p>
      <w:pPr>
        <w:spacing w:before="40" w:after="40"/>
        <w:jc w:val="center"/>
      </w:pPr>
      <w:r>
        <w:drawing>
          <wp:inline xmlns:a="http://schemas.openxmlformats.org/drawingml/2006/main" xmlns:pic="http://schemas.openxmlformats.org/drawingml/2006/picture">
            <wp:extent cx="5580000" cy="630972"/>
            <wp:docPr id="4" name="Picture 4"/>
            <wp:cNvGraphicFramePr>
              <a:graphicFrameLocks noChangeAspect="1"/>
            </wp:cNvGraphicFramePr>
            <a:graphic>
              <a:graphicData uri="http://schemas.openxmlformats.org/drawingml/2006/picture">
                <pic:pic>
                  <pic:nvPicPr>
                    <pic:cNvPr id="0" name="eq_01.png"/>
                    <pic:cNvPicPr/>
                  </pic:nvPicPr>
                  <pic:blipFill>
                    <a:blip r:embed="rId13"/>
                    <a:stretch>
                      <a:fillRect/>
                    </a:stretch>
                  </pic:blipFill>
                  <pic:spPr>
                    <a:xfrm>
                      <a:off x="0" y="0"/>
                      <a:ext cx="5580000" cy="630972"/>
                    </a:xfrm>
                    <a:prstGeom prst="rect"/>
                  </pic:spPr>
                </pic:pic>
              </a:graphicData>
            </a:graphic>
          </wp:inline>
        </w:drawing>
      </w:r>
    </w:p>
    <w:p>
      <w:pPr>
        <w:spacing w:line="360" w:lineRule="auto" w:after="60"/>
        <w:ind w:firstLine="420"/>
        <w:jc w:val="both"/>
      </w:pPr>
      <w:r>
        <w:rPr>
          <w:rFonts w:ascii="宋体" w:hAnsi="宋体" w:eastAsia="宋体"/>
          <w:b w:val="0"/>
          <w:sz w:val="21"/>
        </w:rPr>
        <w:t>磁动势为NI时，忽略漏磁并假定磁通在主磁路中连续，则</w:t>
      </w:r>
    </w:p>
    <w:p>
      <w:pPr>
        <w:spacing w:before="40" w:after="40"/>
        <w:jc w:val="center"/>
      </w:pPr>
      <w:r>
        <w:drawing>
          <wp:inline xmlns:a="http://schemas.openxmlformats.org/drawingml/2006/main" xmlns:pic="http://schemas.openxmlformats.org/drawingml/2006/picture">
            <wp:extent cx="5580000" cy="463569"/>
            <wp:docPr id="5" name="Picture 5"/>
            <wp:cNvGraphicFramePr>
              <a:graphicFrameLocks noChangeAspect="1"/>
            </wp:cNvGraphicFramePr>
            <a:graphic>
              <a:graphicData uri="http://schemas.openxmlformats.org/drawingml/2006/picture">
                <pic:pic>
                  <pic:nvPicPr>
                    <pic:cNvPr id="0" name="eq_02.png"/>
                    <pic:cNvPicPr/>
                  </pic:nvPicPr>
                  <pic:blipFill>
                    <a:blip r:embed="rId14"/>
                    <a:stretch>
                      <a:fillRect/>
                    </a:stretch>
                  </pic:blipFill>
                  <pic:spPr>
                    <a:xfrm>
                      <a:off x="0" y="0"/>
                      <a:ext cx="5580000" cy="463569"/>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502600"/>
            <wp:docPr id="6" name="Picture 6"/>
            <wp:cNvGraphicFramePr>
              <a:graphicFrameLocks noChangeAspect="1"/>
            </wp:cNvGraphicFramePr>
            <a:graphic>
              <a:graphicData uri="http://schemas.openxmlformats.org/drawingml/2006/picture">
                <pic:pic>
                  <pic:nvPicPr>
                    <pic:cNvPr id="0" name="eq_03.png"/>
                    <pic:cNvPicPr/>
                  </pic:nvPicPr>
                  <pic:blipFill>
                    <a:blip r:embed="rId15"/>
                    <a:stretch>
                      <a:fillRect/>
                    </a:stretch>
                  </pic:blipFill>
                  <pic:spPr>
                    <a:xfrm>
                      <a:off x="0" y="0"/>
                      <a:ext cx="5580000" cy="502600"/>
                    </a:xfrm>
                    <a:prstGeom prst="rect"/>
                  </pic:spPr>
                </pic:pic>
              </a:graphicData>
            </a:graphic>
          </wp:inline>
        </w:drawing>
      </w:r>
    </w:p>
    <w:p>
      <w:pPr>
        <w:spacing w:line="360" w:lineRule="auto" w:after="60"/>
        <w:ind w:firstLine="420"/>
        <w:jc w:val="both"/>
      </w:pPr>
      <w:r>
        <w:rPr>
          <w:rFonts w:ascii="宋体" w:hAnsi="宋体" w:eastAsia="宋体"/>
          <w:b w:val="0"/>
          <w:sz w:val="21"/>
        </w:rPr>
        <w:t>其中Ag为有效气隙面积。若气隙磁阻占主导，则</w:t>
      </w:r>
    </w:p>
    <w:p>
      <w:pPr>
        <w:spacing w:before="40" w:after="40"/>
        <w:jc w:val="center"/>
      </w:pPr>
      <w:r>
        <w:drawing>
          <wp:inline xmlns:a="http://schemas.openxmlformats.org/drawingml/2006/main" xmlns:pic="http://schemas.openxmlformats.org/drawingml/2006/picture">
            <wp:extent cx="5580000" cy="497615"/>
            <wp:docPr id="7" name="Picture 7"/>
            <wp:cNvGraphicFramePr>
              <a:graphicFrameLocks noChangeAspect="1"/>
            </wp:cNvGraphicFramePr>
            <a:graphic>
              <a:graphicData uri="http://schemas.openxmlformats.org/drawingml/2006/picture">
                <pic:pic>
                  <pic:nvPicPr>
                    <pic:cNvPr id="0" name="eq_04.png"/>
                    <pic:cNvPicPr/>
                  </pic:nvPicPr>
                  <pic:blipFill>
                    <a:blip r:embed="rId16"/>
                    <a:stretch>
                      <a:fillRect/>
                    </a:stretch>
                  </pic:blipFill>
                  <pic:spPr>
                    <a:xfrm>
                      <a:off x="0" y="0"/>
                      <a:ext cx="5580000" cy="497615"/>
                    </a:xfrm>
                    <a:prstGeom prst="rect"/>
                  </pic:spPr>
                </pic:pic>
              </a:graphicData>
            </a:graphic>
          </wp:inline>
        </w:drawing>
      </w:r>
    </w:p>
    <w:p>
      <w:pPr>
        <w:spacing w:line="360" w:lineRule="auto" w:after="60"/>
        <w:ind w:firstLine="420"/>
        <w:jc w:val="both"/>
      </w:pPr>
      <w:r>
        <w:rPr>
          <w:rFonts w:ascii="宋体" w:hAnsi="宋体" w:eastAsia="宋体"/>
          <w:b w:val="0"/>
          <w:sz w:val="21"/>
        </w:rPr>
        <w:t>在气隙磁场近似均匀、边缘效应较小且铁磁材料未明显饱和时，气隙吸力可用Maxwell应力近似为</w:t>
      </w:r>
    </w:p>
    <w:p>
      <w:pPr>
        <w:spacing w:before="40" w:after="40"/>
        <w:jc w:val="center"/>
      </w:pPr>
      <w:r>
        <w:drawing>
          <wp:inline xmlns:a="http://schemas.openxmlformats.org/drawingml/2006/main" xmlns:pic="http://schemas.openxmlformats.org/drawingml/2006/picture">
            <wp:extent cx="5580000" cy="601268"/>
            <wp:docPr id="8" name="Picture 8"/>
            <wp:cNvGraphicFramePr>
              <a:graphicFrameLocks noChangeAspect="1"/>
            </wp:cNvGraphicFramePr>
            <a:graphic>
              <a:graphicData uri="http://schemas.openxmlformats.org/drawingml/2006/picture">
                <pic:pic>
                  <pic:nvPicPr>
                    <pic:cNvPr id="0" name="eq_05.png"/>
                    <pic:cNvPicPr/>
                  </pic:nvPicPr>
                  <pic:blipFill>
                    <a:blip r:embed="rId17"/>
                    <a:stretch>
                      <a:fillRect/>
                    </a:stretch>
                  </pic:blipFill>
                  <pic:spPr>
                    <a:xfrm>
                      <a:off x="0" y="0"/>
                      <a:ext cx="5580000" cy="601268"/>
                    </a:xfrm>
                    <a:prstGeom prst="rect"/>
                  </pic:spPr>
                </pic:pic>
              </a:graphicData>
            </a:graphic>
          </wp:inline>
        </w:drawing>
      </w:r>
    </w:p>
    <w:p>
      <w:pPr>
        <w:spacing w:line="360" w:lineRule="auto" w:after="60"/>
        <w:ind w:firstLine="420"/>
        <w:jc w:val="both"/>
      </w:pPr>
      <w:r>
        <w:rPr>
          <w:rFonts w:ascii="宋体" w:hAnsi="宋体" w:eastAsia="宋体"/>
          <w:b w:val="0"/>
          <w:sz w:val="21"/>
        </w:rPr>
        <w:t>式（5）只适合用于趋势判断。实际电磁铁存在漏磁、边缘磁通、磁滞和饱和，尤其在小气隙和高电流条件下，应采用实测力—位移数据或有限元模型进行校正。</w:t>
      </w:r>
    </w:p>
    <w:p>
      <w:pPr>
        <w:keepNext/>
        <w:spacing w:before="180" w:after="80"/>
      </w:pPr>
      <w:r>
        <w:rPr>
          <w:rFonts w:ascii="黑体" w:hAnsi="黑体" w:eastAsia="黑体"/>
          <w:b/>
          <w:sz w:val="25"/>
        </w:rPr>
        <w:t>3.2 磁共能与位置相关电感</w:t>
      </w:r>
    </w:p>
    <w:p>
      <w:pPr>
        <w:spacing w:line="360" w:lineRule="auto" w:after="60"/>
        <w:ind w:firstLine="420"/>
        <w:jc w:val="both"/>
      </w:pPr>
      <w:r>
        <w:rPr>
          <w:rFonts w:ascii="宋体" w:hAnsi="宋体" w:eastAsia="宋体"/>
          <w:b w:val="0"/>
          <w:sz w:val="21"/>
        </w:rPr>
        <w:t>对于电磁执行器，更一般且更稳妥的力学表达应从磁共能出发：</w:t>
      </w:r>
    </w:p>
    <w:p>
      <w:pPr>
        <w:spacing w:before="40" w:after="40"/>
        <w:jc w:val="center"/>
      </w:pPr>
      <w:r>
        <w:drawing>
          <wp:inline xmlns:a="http://schemas.openxmlformats.org/drawingml/2006/main" xmlns:pic="http://schemas.openxmlformats.org/drawingml/2006/picture">
            <wp:extent cx="5580000" cy="428054"/>
            <wp:docPr id="9" name="Picture 9"/>
            <wp:cNvGraphicFramePr>
              <a:graphicFrameLocks noChangeAspect="1"/>
            </wp:cNvGraphicFramePr>
            <a:graphic>
              <a:graphicData uri="http://schemas.openxmlformats.org/drawingml/2006/picture">
                <pic:pic>
                  <pic:nvPicPr>
                    <pic:cNvPr id="0" name="eq_06.png"/>
                    <pic:cNvPicPr/>
                  </pic:nvPicPr>
                  <pic:blipFill>
                    <a:blip r:embed="rId18"/>
                    <a:stretch>
                      <a:fillRect/>
                    </a:stretch>
                  </pic:blipFill>
                  <pic:spPr>
                    <a:xfrm>
                      <a:off x="0" y="0"/>
                      <a:ext cx="5580000" cy="428054"/>
                    </a:xfrm>
                    <a:prstGeom prst="rect"/>
                  </pic:spPr>
                </pic:pic>
              </a:graphicData>
            </a:graphic>
          </wp:inline>
        </w:drawing>
      </w:r>
    </w:p>
    <w:p>
      <w:pPr>
        <w:spacing w:line="360" w:lineRule="auto" w:after="60"/>
        <w:ind w:firstLine="420"/>
        <w:jc w:val="both"/>
      </w:pPr>
      <w:r>
        <w:rPr>
          <w:rFonts w:ascii="宋体" w:hAnsi="宋体" w:eastAsia="宋体"/>
          <w:b w:val="0"/>
          <w:sz w:val="21"/>
        </w:rPr>
        <w:t>在线性磁路近似下，若磁链满足λ=L(x)i，则磁共能为</w:t>
      </w:r>
    </w:p>
    <w:p>
      <w:pPr>
        <w:spacing w:before="40" w:after="40"/>
        <w:jc w:val="center"/>
      </w:pPr>
      <w:r>
        <w:drawing>
          <wp:inline xmlns:a="http://schemas.openxmlformats.org/drawingml/2006/main" xmlns:pic="http://schemas.openxmlformats.org/drawingml/2006/picture">
            <wp:extent cx="5580000" cy="415963"/>
            <wp:docPr id="10" name="Picture 10"/>
            <wp:cNvGraphicFramePr>
              <a:graphicFrameLocks noChangeAspect="1"/>
            </wp:cNvGraphicFramePr>
            <a:graphic>
              <a:graphicData uri="http://schemas.openxmlformats.org/drawingml/2006/picture">
                <pic:pic>
                  <pic:nvPicPr>
                    <pic:cNvPr id="0" name="eq_07.png"/>
                    <pic:cNvPicPr/>
                  </pic:nvPicPr>
                  <pic:blipFill>
                    <a:blip r:embed="rId19"/>
                    <a:stretch>
                      <a:fillRect/>
                    </a:stretch>
                  </pic:blipFill>
                  <pic:spPr>
                    <a:xfrm>
                      <a:off x="0" y="0"/>
                      <a:ext cx="5580000" cy="415963"/>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461380"/>
            <wp:docPr id="11" name="Picture 11"/>
            <wp:cNvGraphicFramePr>
              <a:graphicFrameLocks noChangeAspect="1"/>
            </wp:cNvGraphicFramePr>
            <a:graphic>
              <a:graphicData uri="http://schemas.openxmlformats.org/drawingml/2006/picture">
                <pic:pic>
                  <pic:nvPicPr>
                    <pic:cNvPr id="0" name="eq_08.png"/>
                    <pic:cNvPicPr/>
                  </pic:nvPicPr>
                  <pic:blipFill>
                    <a:blip r:embed="rId20"/>
                    <a:stretch>
                      <a:fillRect/>
                    </a:stretch>
                  </pic:blipFill>
                  <pic:spPr>
                    <a:xfrm>
                      <a:off x="0" y="0"/>
                      <a:ext cx="5580000" cy="461380"/>
                    </a:xfrm>
                    <a:prstGeom prst="rect"/>
                  </pic:spPr>
                </pic:pic>
              </a:graphicData>
            </a:graphic>
          </wp:inline>
        </w:drawing>
      </w:r>
    </w:p>
    <w:p>
      <w:pPr>
        <w:spacing w:line="360" w:lineRule="auto" w:after="60"/>
        <w:ind w:firstLine="420"/>
        <w:jc w:val="both"/>
      </w:pPr>
      <w:r>
        <w:rPr>
          <w:rFonts w:ascii="宋体" w:hAnsi="宋体" w:eastAsia="宋体"/>
          <w:b w:val="0"/>
          <w:sz w:val="21"/>
        </w:rPr>
        <w:t>因此，在采用“x朝气隙减小方向为正”的坐标定义时，电磁力趋向于使系统电感增大。若采用相反坐标方向，式（8）的符号应随坐标定义调整。</w:t>
      </w:r>
    </w:p>
    <w:p>
      <w:pPr>
        <w:keepNext/>
        <w:spacing w:before="180" w:after="80"/>
      </w:pPr>
      <w:r>
        <w:rPr>
          <w:rFonts w:ascii="黑体" w:hAnsi="黑体" w:eastAsia="黑体"/>
          <w:b/>
          <w:sz w:val="25"/>
        </w:rPr>
        <w:t>3.3 线圈电气动态与运动反电动势</w:t>
      </w:r>
    </w:p>
    <w:p>
      <w:pPr>
        <w:spacing w:line="360" w:lineRule="auto" w:after="60"/>
        <w:ind w:firstLine="420"/>
        <w:jc w:val="both"/>
      </w:pPr>
      <w:r>
        <w:rPr>
          <w:rFonts w:ascii="宋体" w:hAnsi="宋体" w:eastAsia="宋体"/>
          <w:b w:val="0"/>
          <w:sz w:val="21"/>
        </w:rPr>
        <w:t>原有文档直接使用U=Ri+Ldi/dt，只在线圈位置固定且电感近似常数时成立。更一般的线圈端电压关系应写为</w:t>
      </w:r>
    </w:p>
    <w:p>
      <w:pPr>
        <w:spacing w:before="40" w:after="40"/>
        <w:jc w:val="center"/>
      </w:pPr>
      <w:r>
        <w:drawing>
          <wp:inline xmlns:a="http://schemas.openxmlformats.org/drawingml/2006/main" xmlns:pic="http://schemas.openxmlformats.org/drawingml/2006/picture">
            <wp:extent cx="5580000" cy="451283"/>
            <wp:docPr id="12" name="Picture 12"/>
            <wp:cNvGraphicFramePr>
              <a:graphicFrameLocks noChangeAspect="1"/>
            </wp:cNvGraphicFramePr>
            <a:graphic>
              <a:graphicData uri="http://schemas.openxmlformats.org/drawingml/2006/picture">
                <pic:pic>
                  <pic:nvPicPr>
                    <pic:cNvPr id="0" name="eq_09.png"/>
                    <pic:cNvPicPr/>
                  </pic:nvPicPr>
                  <pic:blipFill>
                    <a:blip r:embed="rId21"/>
                    <a:stretch>
                      <a:fillRect/>
                    </a:stretch>
                  </pic:blipFill>
                  <pic:spPr>
                    <a:xfrm>
                      <a:off x="0" y="0"/>
                      <a:ext cx="5580000" cy="451283"/>
                    </a:xfrm>
                    <a:prstGeom prst="rect"/>
                  </pic:spPr>
                </pic:pic>
              </a:graphicData>
            </a:graphic>
          </wp:inline>
        </w:drawing>
      </w:r>
    </w:p>
    <w:p>
      <w:pPr>
        <w:spacing w:line="360" w:lineRule="auto" w:after="60"/>
        <w:ind w:firstLine="420"/>
        <w:jc w:val="both"/>
      </w:pPr>
      <w:r>
        <w:rPr>
          <w:rFonts w:ascii="宋体" w:hAnsi="宋体" w:eastAsia="宋体"/>
          <w:b w:val="0"/>
          <w:sz w:val="21"/>
        </w:rPr>
        <w:t>若在某一工作区间可近似取λ=L(x)i，则</w:t>
      </w:r>
    </w:p>
    <w:p>
      <w:pPr>
        <w:spacing w:before="40" w:after="40"/>
        <w:jc w:val="center"/>
      </w:pPr>
      <w:r>
        <w:drawing>
          <wp:inline xmlns:a="http://schemas.openxmlformats.org/drawingml/2006/main" xmlns:pic="http://schemas.openxmlformats.org/drawingml/2006/picture">
            <wp:extent cx="5580000" cy="412793"/>
            <wp:docPr id="13" name="Picture 13"/>
            <wp:cNvGraphicFramePr>
              <a:graphicFrameLocks noChangeAspect="1"/>
            </wp:cNvGraphicFramePr>
            <a:graphic>
              <a:graphicData uri="http://schemas.openxmlformats.org/drawingml/2006/picture">
                <pic:pic>
                  <pic:nvPicPr>
                    <pic:cNvPr id="0" name="eq_10.png"/>
                    <pic:cNvPicPr/>
                  </pic:nvPicPr>
                  <pic:blipFill>
                    <a:blip r:embed="rId22"/>
                    <a:stretch>
                      <a:fillRect/>
                    </a:stretch>
                  </pic:blipFill>
                  <pic:spPr>
                    <a:xfrm>
                      <a:off x="0" y="0"/>
                      <a:ext cx="5580000" cy="412793"/>
                    </a:xfrm>
                    <a:prstGeom prst="rect"/>
                  </pic:spPr>
                </pic:pic>
              </a:graphicData>
            </a:graphic>
          </wp:inline>
        </w:drawing>
      </w:r>
    </w:p>
    <w:p>
      <w:pPr>
        <w:spacing w:line="360" w:lineRule="auto" w:after="60"/>
        <w:ind w:firstLine="420"/>
        <w:jc w:val="both"/>
      </w:pPr>
      <w:r>
        <w:rPr>
          <w:rFonts w:ascii="宋体" w:hAnsi="宋体" w:eastAsia="宋体"/>
          <w:b w:val="0"/>
          <w:sz w:val="21"/>
        </w:rPr>
        <w:t>式（10）中的第三项体现衔铁运动导致的运动反电动势。只有在运动尚未开始或位移变化很小、L可视为常数时，才可简化为</w:t>
      </w:r>
    </w:p>
    <w:p>
      <w:pPr>
        <w:spacing w:before="40" w:after="40"/>
        <w:jc w:val="center"/>
      </w:pPr>
      <w:r>
        <w:drawing>
          <wp:inline xmlns:a="http://schemas.openxmlformats.org/drawingml/2006/main" xmlns:pic="http://schemas.openxmlformats.org/drawingml/2006/picture">
            <wp:extent cx="5580000" cy="440526"/>
            <wp:docPr id="14" name="Picture 14"/>
            <wp:cNvGraphicFramePr>
              <a:graphicFrameLocks noChangeAspect="1"/>
            </wp:cNvGraphicFramePr>
            <a:graphic>
              <a:graphicData uri="http://schemas.openxmlformats.org/drawingml/2006/picture">
                <pic:pic>
                  <pic:nvPicPr>
                    <pic:cNvPr id="0" name="eq_11.png"/>
                    <pic:cNvPicPr/>
                  </pic:nvPicPr>
                  <pic:blipFill>
                    <a:blip r:embed="rId23"/>
                    <a:stretch>
                      <a:fillRect/>
                    </a:stretch>
                  </pic:blipFill>
                  <pic:spPr>
                    <a:xfrm>
                      <a:off x="0" y="0"/>
                      <a:ext cx="5580000" cy="440526"/>
                    </a:xfrm>
                    <a:prstGeom prst="rect"/>
                  </pic:spPr>
                </pic:pic>
              </a:graphicData>
            </a:graphic>
          </wp:inline>
        </w:drawing>
      </w:r>
    </w:p>
    <w:p>
      <w:pPr>
        <w:spacing w:line="360" w:lineRule="auto" w:after="60"/>
        <w:ind w:firstLine="420"/>
        <w:jc w:val="both"/>
      </w:pPr>
      <w:r>
        <w:rPr>
          <w:rFonts w:ascii="宋体" w:hAnsi="宋体" w:eastAsia="宋体"/>
          <w:b w:val="0"/>
          <w:sz w:val="21"/>
        </w:rPr>
        <w:t>对于直流阶跃电压U、初始电流为0的固定电感模型，电流响应为</w:t>
      </w:r>
    </w:p>
    <w:p>
      <w:pPr>
        <w:spacing w:before="40" w:after="40"/>
        <w:jc w:val="center"/>
      </w:pPr>
      <w:r>
        <w:drawing>
          <wp:inline xmlns:a="http://schemas.openxmlformats.org/drawingml/2006/main" xmlns:pic="http://schemas.openxmlformats.org/drawingml/2006/picture">
            <wp:extent cx="5580000" cy="375664"/>
            <wp:docPr id="15" name="Picture 15"/>
            <wp:cNvGraphicFramePr>
              <a:graphicFrameLocks noChangeAspect="1"/>
            </wp:cNvGraphicFramePr>
            <a:graphic>
              <a:graphicData uri="http://schemas.openxmlformats.org/drawingml/2006/picture">
                <pic:pic>
                  <pic:nvPicPr>
                    <pic:cNvPr id="0" name="eq_12.png"/>
                    <pic:cNvPicPr/>
                  </pic:nvPicPr>
                  <pic:blipFill>
                    <a:blip r:embed="rId24"/>
                    <a:stretch>
                      <a:fillRect/>
                    </a:stretch>
                  </pic:blipFill>
                  <pic:spPr>
                    <a:xfrm>
                      <a:off x="0" y="0"/>
                      <a:ext cx="5580000" cy="375664"/>
                    </a:xfrm>
                    <a:prstGeom prst="rect"/>
                  </pic:spPr>
                </pic:pic>
              </a:graphicData>
            </a:graphic>
          </wp:inline>
        </w:drawing>
      </w:r>
    </w:p>
    <w:p>
      <w:pPr>
        <w:spacing w:line="360" w:lineRule="auto" w:after="60"/>
        <w:ind w:firstLine="420"/>
        <w:jc w:val="both"/>
      </w:pPr>
      <w:r>
        <w:rPr>
          <w:rFonts w:ascii="宋体" w:hAnsi="宋体" w:eastAsia="宋体"/>
          <w:b w:val="0"/>
          <w:sz w:val="21"/>
        </w:rPr>
        <w:t>该一阶模型的10%—90%电流上升时间满足</w:t>
      </w:r>
    </w:p>
    <w:p>
      <w:pPr>
        <w:spacing w:before="40" w:after="40"/>
        <w:jc w:val="center"/>
      </w:pPr>
      <w:r>
        <w:drawing>
          <wp:inline xmlns:a="http://schemas.openxmlformats.org/drawingml/2006/main" xmlns:pic="http://schemas.openxmlformats.org/drawingml/2006/picture">
            <wp:extent cx="5580000" cy="317522"/>
            <wp:docPr id="16" name="Picture 16"/>
            <wp:cNvGraphicFramePr>
              <a:graphicFrameLocks noChangeAspect="1"/>
            </wp:cNvGraphicFramePr>
            <a:graphic>
              <a:graphicData uri="http://schemas.openxmlformats.org/drawingml/2006/picture">
                <pic:pic>
                  <pic:nvPicPr>
                    <pic:cNvPr id="0" name="eq_13.png"/>
                    <pic:cNvPicPr/>
                  </pic:nvPicPr>
                  <pic:blipFill>
                    <a:blip r:embed="rId25"/>
                    <a:stretch>
                      <a:fillRect/>
                    </a:stretch>
                  </pic:blipFill>
                  <pic:spPr>
                    <a:xfrm>
                      <a:off x="0" y="0"/>
                      <a:ext cx="5580000" cy="317522"/>
                    </a:xfrm>
                    <a:prstGeom prst="rect"/>
                  </pic:spPr>
                </pic:pic>
              </a:graphicData>
            </a:graphic>
          </wp:inline>
        </w:drawing>
      </w:r>
    </w:p>
    <w:p>
      <w:pPr>
        <w:jc w:val="center"/>
      </w:pPr>
      <w:r>
        <w:drawing>
          <wp:inline xmlns:a="http://schemas.openxmlformats.org/drawingml/2006/main" xmlns:pic="http://schemas.openxmlformats.org/drawingml/2006/picture">
            <wp:extent cx="5508000" cy="1738373"/>
            <wp:docPr id="17" name="Picture 17"/>
            <wp:cNvGraphicFramePr>
              <a:graphicFrameLocks noChangeAspect="1"/>
            </wp:cNvGraphicFramePr>
            <a:graphic>
              <a:graphicData uri="http://schemas.openxmlformats.org/drawingml/2006/picture">
                <pic:pic>
                  <pic:nvPicPr>
                    <pic:cNvPr id="0" name="fig04_coupling.png"/>
                    <pic:cNvPicPr/>
                  </pic:nvPicPr>
                  <pic:blipFill>
                    <a:blip r:embed="rId26"/>
                    <a:stretch>
                      <a:fillRect/>
                    </a:stretch>
                  </pic:blipFill>
                  <pic:spPr>
                    <a:xfrm>
                      <a:off x="0" y="0"/>
                      <a:ext cx="5508000" cy="1738373"/>
                    </a:xfrm>
                    <a:prstGeom prst="rect"/>
                  </pic:spPr>
                </pic:pic>
              </a:graphicData>
            </a:graphic>
          </wp:inline>
        </w:drawing>
      </w:r>
    </w:p>
    <w:p>
      <w:pPr>
        <w:jc w:val="center"/>
      </w:pPr>
      <w:r>
        <w:rPr>
          <w:rFonts w:ascii="宋体" w:hAnsi="宋体" w:eastAsia="宋体"/>
          <w:b w:val="0"/>
          <w:sz w:val="19"/>
        </w:rPr>
        <w:t>图4  电气—磁场—机械耦合链路</w:t>
      </w:r>
    </w:p>
    <w:p>
      <w:pPr>
        <w:keepNext/>
        <w:spacing w:before="180" w:after="80"/>
      </w:pPr>
      <w:r>
        <w:rPr>
          <w:rFonts w:ascii="黑体" w:hAnsi="黑体" w:eastAsia="黑体"/>
          <w:b/>
          <w:sz w:val="25"/>
        </w:rPr>
        <w:t>3.4 机械运动模型</w:t>
      </w:r>
    </w:p>
    <w:p>
      <w:pPr>
        <w:spacing w:line="360" w:lineRule="auto" w:after="60"/>
        <w:ind w:firstLine="420"/>
        <w:jc w:val="both"/>
      </w:pPr>
      <w:r>
        <w:rPr>
          <w:rFonts w:ascii="宋体" w:hAnsi="宋体" w:eastAsia="宋体"/>
          <w:b w:val="0"/>
          <w:sz w:val="21"/>
        </w:rPr>
        <w:t>把动铁芯和连接件等效为单自由度系统，并将弹簧预紧、阻尼、摩擦和外部负载分别考虑，可写成</w:t>
      </w:r>
    </w:p>
    <w:p>
      <w:pPr>
        <w:spacing w:before="40" w:after="40"/>
        <w:jc w:val="center"/>
      </w:pPr>
      <w:r>
        <w:drawing>
          <wp:inline xmlns:a="http://schemas.openxmlformats.org/drawingml/2006/main" xmlns:pic="http://schemas.openxmlformats.org/drawingml/2006/picture">
            <wp:extent cx="5580000" cy="302405"/>
            <wp:docPr id="18" name="Picture 18"/>
            <wp:cNvGraphicFramePr>
              <a:graphicFrameLocks noChangeAspect="1"/>
            </wp:cNvGraphicFramePr>
            <a:graphic>
              <a:graphicData uri="http://schemas.openxmlformats.org/drawingml/2006/picture">
                <pic:pic>
                  <pic:nvPicPr>
                    <pic:cNvPr id="0" name="eq_14.png"/>
                    <pic:cNvPicPr/>
                  </pic:nvPicPr>
                  <pic:blipFill>
                    <a:blip r:embed="rId27"/>
                    <a:stretch>
                      <a:fillRect/>
                    </a:stretch>
                  </pic:blipFill>
                  <pic:spPr>
                    <a:xfrm>
                      <a:off x="0" y="0"/>
                      <a:ext cx="5580000" cy="302405"/>
                    </a:xfrm>
                    <a:prstGeom prst="rect"/>
                  </pic:spPr>
                </pic:pic>
              </a:graphicData>
            </a:graphic>
          </wp:inline>
        </w:drawing>
      </w:r>
    </w:p>
    <w:p>
      <w:pPr>
        <w:spacing w:line="360" w:lineRule="auto" w:after="60"/>
        <w:ind w:firstLine="420"/>
        <w:jc w:val="both"/>
      </w:pPr>
      <w:r>
        <w:rPr>
          <w:rFonts w:ascii="宋体" w:hAnsi="宋体" w:eastAsia="宋体"/>
          <w:b w:val="0"/>
          <w:sz w:val="21"/>
        </w:rPr>
        <w:t>其中m为等效运动质量，c为等效粘性阻尼，k为复位弹簧刚度，x0为弹簧参考位置，Ff为摩擦力，FL为外部负载。若存在刚性撞击或限位，单自由度连续模型不能完整描述碰撞阶段，需要增加接触模型或直接采用试验测量。</w:t>
      </w:r>
    </w:p>
    <w:p>
      <w:pPr>
        <w:keepNext/>
        <w:spacing w:before="180" w:after="80"/>
      </w:pPr>
      <w:r>
        <w:rPr>
          <w:rFonts w:ascii="黑体" w:hAnsi="黑体" w:eastAsia="黑体"/>
          <w:b/>
          <w:sz w:val="25"/>
        </w:rPr>
        <w:t>3.5 铜耗、温升与涡流影响</w:t>
      </w:r>
    </w:p>
    <w:p>
      <w:pPr>
        <w:spacing w:line="360" w:lineRule="auto" w:after="60"/>
        <w:ind w:firstLine="420"/>
        <w:jc w:val="both"/>
      </w:pPr>
      <w:r>
        <w:rPr>
          <w:rFonts w:ascii="宋体" w:hAnsi="宋体" w:eastAsia="宋体"/>
          <w:b w:val="0"/>
          <w:sz w:val="21"/>
        </w:rPr>
        <w:t>线圈的主要可测损耗为铜耗。对于脉冲或周期电流，应使用有效值而非简单用峰值代入：</w:t>
      </w:r>
    </w:p>
    <w:p>
      <w:pPr>
        <w:spacing w:before="40" w:after="40"/>
        <w:jc w:val="center"/>
      </w:pPr>
      <w:r>
        <w:drawing>
          <wp:inline xmlns:a="http://schemas.openxmlformats.org/drawingml/2006/main" xmlns:pic="http://schemas.openxmlformats.org/drawingml/2006/picture">
            <wp:extent cx="5580000" cy="425143"/>
            <wp:docPr id="19" name="Picture 19"/>
            <wp:cNvGraphicFramePr>
              <a:graphicFrameLocks noChangeAspect="1"/>
            </wp:cNvGraphicFramePr>
            <a:graphic>
              <a:graphicData uri="http://schemas.openxmlformats.org/drawingml/2006/picture">
                <pic:pic>
                  <pic:nvPicPr>
                    <pic:cNvPr id="0" name="eq_15.png"/>
                    <pic:cNvPicPr/>
                  </pic:nvPicPr>
                  <pic:blipFill>
                    <a:blip r:embed="rId28"/>
                    <a:stretch>
                      <a:fillRect/>
                    </a:stretch>
                  </pic:blipFill>
                  <pic:spPr>
                    <a:xfrm>
                      <a:off x="0" y="0"/>
                      <a:ext cx="5580000" cy="425143"/>
                    </a:xfrm>
                    <a:prstGeom prst="rect"/>
                  </pic:spPr>
                </pic:pic>
              </a:graphicData>
            </a:graphic>
          </wp:inline>
        </w:drawing>
      </w:r>
    </w:p>
    <w:p>
      <w:pPr>
        <w:spacing w:line="360" w:lineRule="auto" w:after="60"/>
        <w:ind w:firstLine="420"/>
        <w:jc w:val="both"/>
      </w:pPr>
      <w:r>
        <w:rPr>
          <w:rFonts w:ascii="宋体" w:hAnsi="宋体" w:eastAsia="宋体"/>
          <w:b w:val="0"/>
          <w:sz w:val="21"/>
        </w:rPr>
        <w:t>铜电阻随温度上升近似增加，可写为</w:t>
      </w:r>
    </w:p>
    <w:p>
      <w:pPr>
        <w:spacing w:before="40" w:after="40"/>
        <w:jc w:val="center"/>
      </w:pPr>
      <w:r>
        <w:drawing>
          <wp:inline xmlns:a="http://schemas.openxmlformats.org/drawingml/2006/main" xmlns:pic="http://schemas.openxmlformats.org/drawingml/2006/picture">
            <wp:extent cx="5580000" cy="311526"/>
            <wp:docPr id="20" name="Picture 20"/>
            <wp:cNvGraphicFramePr>
              <a:graphicFrameLocks noChangeAspect="1"/>
            </wp:cNvGraphicFramePr>
            <a:graphic>
              <a:graphicData uri="http://schemas.openxmlformats.org/drawingml/2006/picture">
                <pic:pic>
                  <pic:nvPicPr>
                    <pic:cNvPr id="0" name="eq_16.png"/>
                    <pic:cNvPicPr/>
                  </pic:nvPicPr>
                  <pic:blipFill>
                    <a:blip r:embed="rId29"/>
                    <a:stretch>
                      <a:fillRect/>
                    </a:stretch>
                  </pic:blipFill>
                  <pic:spPr>
                    <a:xfrm>
                      <a:off x="0" y="0"/>
                      <a:ext cx="5580000" cy="311526"/>
                    </a:xfrm>
                    <a:prstGeom prst="rect"/>
                  </pic:spPr>
                </pic:pic>
              </a:graphicData>
            </a:graphic>
          </wp:inline>
        </w:drawing>
      </w:r>
    </w:p>
    <w:p>
      <w:pPr>
        <w:spacing w:line="360" w:lineRule="auto" w:after="60"/>
        <w:ind w:firstLine="420"/>
        <w:jc w:val="both"/>
      </w:pPr>
      <w:r>
        <w:rPr>
          <w:rFonts w:ascii="宋体" w:hAnsi="宋体" w:eastAsia="宋体"/>
          <w:b w:val="0"/>
          <w:sz w:val="21"/>
        </w:rPr>
        <w:t>其中αCu在室温附近约为3.9×10⁻³ K⁻¹。若采用一阶集中参数热模型，则</w:t>
      </w:r>
    </w:p>
    <w:p>
      <w:pPr>
        <w:spacing w:before="40" w:after="40"/>
        <w:jc w:val="center"/>
      </w:pPr>
      <w:r>
        <w:drawing>
          <wp:inline xmlns:a="http://schemas.openxmlformats.org/drawingml/2006/main" xmlns:pic="http://schemas.openxmlformats.org/drawingml/2006/picture">
            <wp:extent cx="5580000" cy="451062"/>
            <wp:docPr id="21" name="Picture 21"/>
            <wp:cNvGraphicFramePr>
              <a:graphicFrameLocks noChangeAspect="1"/>
            </wp:cNvGraphicFramePr>
            <a:graphic>
              <a:graphicData uri="http://schemas.openxmlformats.org/drawingml/2006/picture">
                <pic:pic>
                  <pic:nvPicPr>
                    <pic:cNvPr id="0" name="eq_17.png"/>
                    <pic:cNvPicPr/>
                  </pic:nvPicPr>
                  <pic:blipFill>
                    <a:blip r:embed="rId30"/>
                    <a:stretch>
                      <a:fillRect/>
                    </a:stretch>
                  </pic:blipFill>
                  <pic:spPr>
                    <a:xfrm>
                      <a:off x="0" y="0"/>
                      <a:ext cx="5580000" cy="451062"/>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357077"/>
            <wp:docPr id="22" name="Picture 22"/>
            <wp:cNvGraphicFramePr>
              <a:graphicFrameLocks noChangeAspect="1"/>
            </wp:cNvGraphicFramePr>
            <a:graphic>
              <a:graphicData uri="http://schemas.openxmlformats.org/drawingml/2006/picture">
                <pic:pic>
                  <pic:nvPicPr>
                    <pic:cNvPr id="0" name="eq_18.png"/>
                    <pic:cNvPicPr/>
                  </pic:nvPicPr>
                  <pic:blipFill>
                    <a:blip r:embed="rId31"/>
                    <a:stretch>
                      <a:fillRect/>
                    </a:stretch>
                  </pic:blipFill>
                  <pic:spPr>
                    <a:xfrm>
                      <a:off x="0" y="0"/>
                      <a:ext cx="5580000" cy="357077"/>
                    </a:xfrm>
                    <a:prstGeom prst="rect"/>
                  </pic:spPr>
                </pic:pic>
              </a:graphicData>
            </a:graphic>
          </wp:inline>
        </w:drawing>
      </w:r>
    </w:p>
    <w:p>
      <w:pPr>
        <w:spacing w:line="360" w:lineRule="auto" w:after="60"/>
        <w:ind w:firstLine="420"/>
        <w:jc w:val="both"/>
      </w:pPr>
      <w:r>
        <w:rPr>
          <w:rFonts w:ascii="宋体" w:hAnsi="宋体" w:eastAsia="宋体"/>
          <w:b w:val="0"/>
          <w:sz w:val="21"/>
        </w:rPr>
        <w:t>文献表明，提高驱动电压虽然可以加快电流建立，但也可能增加铁芯涡流损耗；采用高电阻率磁性材料或优化铁芯结构有助于减弱涡流并改善动态响应</w:t>
      </w:r>
      <w:r>
        <w:rPr>
          <w:rFonts w:ascii="Times New Roman" w:hAnsi="Times New Roman"/>
          <w:sz w:val="21"/>
        </w:rPr>
        <w:t>[3-4,8-9]。</w:t>
      </w:r>
    </w:p>
    <w:p>
      <w:pPr>
        <w:jc w:val="center"/>
      </w:pPr>
      <w:r>
        <w:drawing>
          <wp:inline xmlns:a="http://schemas.openxmlformats.org/drawingml/2006/main" xmlns:pic="http://schemas.openxmlformats.org/drawingml/2006/picture">
            <wp:extent cx="5508000" cy="2516647"/>
            <wp:docPr id="23" name="Picture 23"/>
            <wp:cNvGraphicFramePr>
              <a:graphicFrameLocks noChangeAspect="1"/>
            </wp:cNvGraphicFramePr>
            <a:graphic>
              <a:graphicData uri="http://schemas.openxmlformats.org/drawingml/2006/picture">
                <pic:pic>
                  <pic:nvPicPr>
                    <pic:cNvPr id="0" name="fig05_driver.png"/>
                    <pic:cNvPicPr/>
                  </pic:nvPicPr>
                  <pic:blipFill>
                    <a:blip r:embed="rId32"/>
                    <a:stretch>
                      <a:fillRect/>
                    </a:stretch>
                  </pic:blipFill>
                  <pic:spPr>
                    <a:xfrm>
                      <a:off x="0" y="0"/>
                      <a:ext cx="5508000" cy="2516647"/>
                    </a:xfrm>
                    <a:prstGeom prst="rect"/>
                  </pic:spPr>
                </pic:pic>
              </a:graphicData>
            </a:graphic>
          </wp:inline>
        </w:drawing>
      </w:r>
    </w:p>
    <w:p>
      <w:pPr>
        <w:jc w:val="center"/>
      </w:pPr>
      <w:r>
        <w:rPr>
          <w:rFonts w:ascii="宋体" w:hAnsi="宋体" w:eastAsia="宋体"/>
          <w:b w:val="0"/>
          <w:sz w:val="19"/>
        </w:rPr>
        <w:t>图5  电磁线圈MOSFET驱动与续流/钳位保护示意图</w:t>
      </w:r>
    </w:p>
    <w:p>
      <w:pPr>
        <w:keepNext/>
        <w:spacing w:before="180" w:after="80"/>
      </w:pPr>
      <w:r>
        <w:rPr>
          <w:rFonts w:ascii="黑体" w:hAnsi="黑体" w:eastAsia="黑体"/>
          <w:b/>
          <w:sz w:val="25"/>
        </w:rPr>
        <w:t>3.6 公式适用条件</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
              <w:rPr>
                <w:rFonts w:ascii="宋体" w:hAnsi="宋体" w:eastAsia="宋体"/>
                <w:b/>
                <w:sz w:val="19"/>
              </w:rPr>
              <w:t>公式组</w:t>
            </w:r>
          </w:p>
        </w:tc>
        <w:tc>
          <w:tcPr>
            <w:tcW w:type="dxa" w:w="3135"/>
            <w:vAlign w:val="center"/>
          </w:tcPr>
          <w:p>
            <w:pPr>
              <w:jc w:val="center"/>
            </w:pPr>
            <w:r/>
            <w:r>
              <w:rPr>
                <w:rFonts w:ascii="宋体" w:hAnsi="宋体" w:eastAsia="宋体"/>
                <w:b/>
                <w:sz w:val="19"/>
              </w:rPr>
              <w:t>主要假设</w:t>
            </w:r>
          </w:p>
        </w:tc>
        <w:tc>
          <w:tcPr>
            <w:tcW w:type="dxa" w:w="3135"/>
            <w:vAlign w:val="center"/>
          </w:tcPr>
          <w:p>
            <w:pPr>
              <w:jc w:val="center"/>
            </w:pPr>
            <w:r/>
            <w:r>
              <w:rPr>
                <w:rFonts w:ascii="宋体" w:hAnsi="宋体" w:eastAsia="宋体"/>
                <w:b/>
                <w:sz w:val="19"/>
              </w:rPr>
              <w:t>使用建议</w:t>
            </w:r>
          </w:p>
        </w:tc>
      </w:tr>
      <w:tr>
        <w:tc>
          <w:tcPr>
            <w:tcW w:type="dxa" w:w="3135"/>
            <w:vAlign w:val="center"/>
          </w:tcPr>
          <w:p>
            <w:pPr>
              <w:jc w:val="center"/>
            </w:pPr>
            <w:r/>
            <w:r>
              <w:rPr>
                <w:rFonts w:ascii="宋体" w:hAnsi="宋体" w:eastAsia="宋体"/>
                <w:b w:val="0"/>
                <w:sz w:val="18"/>
              </w:rPr>
              <w:t>磁阻/磁通式(1)-(4)</w:t>
            </w:r>
          </w:p>
        </w:tc>
        <w:tc>
          <w:tcPr>
            <w:tcW w:type="dxa" w:w="3135"/>
            <w:vAlign w:val="center"/>
          </w:tcPr>
          <w:p>
            <w:pPr>
              <w:jc w:val="center"/>
            </w:pPr>
            <w:r/>
            <w:r>
              <w:rPr>
                <w:rFonts w:ascii="宋体" w:hAnsi="宋体" w:eastAsia="宋体"/>
                <w:b w:val="0"/>
                <w:sz w:val="18"/>
              </w:rPr>
              <w:t>主磁路可等效、漏磁较小</w:t>
            </w:r>
          </w:p>
        </w:tc>
        <w:tc>
          <w:tcPr>
            <w:tcW w:type="dxa" w:w="3135"/>
            <w:vAlign w:val="center"/>
          </w:tcPr>
          <w:p>
            <w:pPr>
              <w:jc w:val="center"/>
            </w:pPr>
            <w:r/>
            <w:r>
              <w:rPr>
                <w:rFonts w:ascii="宋体" w:hAnsi="宋体" w:eastAsia="宋体"/>
                <w:b w:val="0"/>
                <w:sz w:val="18"/>
              </w:rPr>
              <w:t>用于结构趋势和初步估算</w:t>
            </w:r>
          </w:p>
        </w:tc>
      </w:tr>
      <w:tr>
        <w:tc>
          <w:tcPr>
            <w:tcW w:type="dxa" w:w="3135"/>
            <w:vAlign w:val="center"/>
          </w:tcPr>
          <w:p>
            <w:pPr>
              <w:jc w:val="center"/>
            </w:pPr>
            <w:r/>
            <w:r>
              <w:rPr>
                <w:rFonts w:ascii="宋体" w:hAnsi="宋体" w:eastAsia="宋体"/>
                <w:b w:val="0"/>
                <w:sz w:val="18"/>
              </w:rPr>
              <w:t>气隙力式(5)</w:t>
            </w:r>
          </w:p>
        </w:tc>
        <w:tc>
          <w:tcPr>
            <w:tcW w:type="dxa" w:w="3135"/>
            <w:vAlign w:val="center"/>
          </w:tcPr>
          <w:p>
            <w:pPr>
              <w:jc w:val="center"/>
            </w:pPr>
            <w:r/>
            <w:r>
              <w:rPr>
                <w:rFonts w:ascii="宋体" w:hAnsi="宋体" w:eastAsia="宋体"/>
                <w:b w:val="0"/>
                <w:sz w:val="18"/>
              </w:rPr>
              <w:t>气隙场近似均匀、未严重饱和</w:t>
            </w:r>
          </w:p>
        </w:tc>
        <w:tc>
          <w:tcPr>
            <w:tcW w:type="dxa" w:w="3135"/>
            <w:vAlign w:val="center"/>
          </w:tcPr>
          <w:p>
            <w:pPr>
              <w:jc w:val="center"/>
            </w:pPr>
            <w:r/>
            <w:r>
              <w:rPr>
                <w:rFonts w:ascii="宋体" w:hAnsi="宋体" w:eastAsia="宋体"/>
                <w:b w:val="0"/>
                <w:sz w:val="18"/>
              </w:rPr>
              <w:t>不可替代实测力—位移曲线</w:t>
            </w:r>
          </w:p>
        </w:tc>
      </w:tr>
      <w:tr>
        <w:tc>
          <w:tcPr>
            <w:tcW w:type="dxa" w:w="3135"/>
            <w:vAlign w:val="center"/>
          </w:tcPr>
          <w:p>
            <w:pPr>
              <w:jc w:val="center"/>
            </w:pPr>
            <w:r/>
            <w:r>
              <w:rPr>
                <w:rFonts w:ascii="宋体" w:hAnsi="宋体" w:eastAsia="宋体"/>
                <w:b w:val="0"/>
                <w:sz w:val="18"/>
              </w:rPr>
              <w:t>磁共能式(6)-(8)</w:t>
            </w:r>
          </w:p>
        </w:tc>
        <w:tc>
          <w:tcPr>
            <w:tcW w:type="dxa" w:w="3135"/>
            <w:vAlign w:val="center"/>
          </w:tcPr>
          <w:p>
            <w:pPr>
              <w:jc w:val="center"/>
            </w:pPr>
            <w:r/>
            <w:r>
              <w:rPr>
                <w:rFonts w:ascii="宋体" w:hAnsi="宋体" w:eastAsia="宋体"/>
                <w:b w:val="0"/>
                <w:sz w:val="18"/>
              </w:rPr>
              <w:t>准静态磁场；线性式需L=L(x)</w:t>
            </w:r>
          </w:p>
        </w:tc>
        <w:tc>
          <w:tcPr>
            <w:tcW w:type="dxa" w:w="3135"/>
            <w:vAlign w:val="center"/>
          </w:tcPr>
          <w:p>
            <w:pPr>
              <w:jc w:val="center"/>
            </w:pPr>
            <w:r/>
            <w:r>
              <w:rPr>
                <w:rFonts w:ascii="宋体" w:hAnsi="宋体" w:eastAsia="宋体"/>
                <w:b w:val="0"/>
                <w:sz w:val="18"/>
              </w:rPr>
              <w:t>推荐用于解释位置相关电磁力</w:t>
            </w:r>
          </w:p>
        </w:tc>
      </w:tr>
      <w:tr>
        <w:tc>
          <w:tcPr>
            <w:tcW w:type="dxa" w:w="3135"/>
            <w:vAlign w:val="center"/>
          </w:tcPr>
          <w:p>
            <w:pPr>
              <w:jc w:val="center"/>
            </w:pPr>
            <w:r/>
            <w:r>
              <w:rPr>
                <w:rFonts w:ascii="宋体" w:hAnsi="宋体" w:eastAsia="宋体"/>
                <w:b w:val="0"/>
                <w:sz w:val="18"/>
              </w:rPr>
              <w:t>RL式(11)-(13)</w:t>
            </w:r>
          </w:p>
        </w:tc>
        <w:tc>
          <w:tcPr>
            <w:tcW w:type="dxa" w:w="3135"/>
            <w:vAlign w:val="center"/>
          </w:tcPr>
          <w:p>
            <w:pPr>
              <w:jc w:val="center"/>
            </w:pPr>
            <w:r/>
            <w:r>
              <w:rPr>
                <w:rFonts w:ascii="宋体" w:hAnsi="宋体" w:eastAsia="宋体"/>
                <w:b w:val="0"/>
                <w:sz w:val="18"/>
              </w:rPr>
              <w:t>位置固定、L近似常数</w:t>
            </w:r>
          </w:p>
        </w:tc>
        <w:tc>
          <w:tcPr>
            <w:tcW w:type="dxa" w:w="3135"/>
            <w:vAlign w:val="center"/>
          </w:tcPr>
          <w:p>
            <w:pPr>
              <w:jc w:val="center"/>
            </w:pPr>
            <w:r/>
            <w:r>
              <w:rPr>
                <w:rFonts w:ascii="宋体" w:hAnsi="宋体" w:eastAsia="宋体"/>
                <w:b w:val="0"/>
                <w:sz w:val="18"/>
              </w:rPr>
              <w:t>适合动作前的电流初始建立阶段</w:t>
            </w:r>
          </w:p>
        </w:tc>
      </w:tr>
      <w:tr>
        <w:tc>
          <w:tcPr>
            <w:tcW w:type="dxa" w:w="3135"/>
            <w:vAlign w:val="center"/>
          </w:tcPr>
          <w:p>
            <w:pPr>
              <w:jc w:val="center"/>
            </w:pPr>
            <w:r/>
            <w:r>
              <w:rPr>
                <w:rFonts w:ascii="宋体" w:hAnsi="宋体" w:eastAsia="宋体"/>
                <w:b w:val="0"/>
                <w:sz w:val="18"/>
              </w:rPr>
              <w:t>运动式(14)</w:t>
            </w:r>
          </w:p>
        </w:tc>
        <w:tc>
          <w:tcPr>
            <w:tcW w:type="dxa" w:w="3135"/>
            <w:vAlign w:val="center"/>
          </w:tcPr>
          <w:p>
            <w:pPr>
              <w:jc w:val="center"/>
            </w:pPr>
            <w:r/>
            <w:r>
              <w:rPr>
                <w:rFonts w:ascii="宋体" w:hAnsi="宋体" w:eastAsia="宋体"/>
                <w:b w:val="0"/>
                <w:sz w:val="18"/>
              </w:rPr>
              <w:t>单自由度、无刚性碰撞</w:t>
            </w:r>
          </w:p>
        </w:tc>
        <w:tc>
          <w:tcPr>
            <w:tcW w:type="dxa" w:w="3135"/>
            <w:vAlign w:val="center"/>
          </w:tcPr>
          <w:p>
            <w:pPr>
              <w:jc w:val="center"/>
            </w:pPr>
            <w:r/>
            <w:r>
              <w:rPr>
                <w:rFonts w:ascii="宋体" w:hAnsi="宋体" w:eastAsia="宋体"/>
                <w:b w:val="0"/>
                <w:sz w:val="18"/>
              </w:rPr>
              <w:t>用于衔铁宏观位移响应</w:t>
            </w:r>
          </w:p>
        </w:tc>
      </w:tr>
      <w:tr>
        <w:tc>
          <w:tcPr>
            <w:tcW w:type="dxa" w:w="3135"/>
            <w:vAlign w:val="center"/>
          </w:tcPr>
          <w:p>
            <w:pPr>
              <w:jc w:val="center"/>
            </w:pPr>
            <w:r/>
            <w:r>
              <w:rPr>
                <w:rFonts w:ascii="宋体" w:hAnsi="宋体" w:eastAsia="宋体"/>
                <w:b w:val="0"/>
                <w:sz w:val="18"/>
              </w:rPr>
              <w:t>热模型式(15)-(18)</w:t>
            </w:r>
          </w:p>
        </w:tc>
        <w:tc>
          <w:tcPr>
            <w:tcW w:type="dxa" w:w="3135"/>
            <w:vAlign w:val="center"/>
          </w:tcPr>
          <w:p>
            <w:pPr>
              <w:jc w:val="center"/>
            </w:pPr>
            <w:r/>
            <w:r>
              <w:rPr>
                <w:rFonts w:ascii="宋体" w:hAnsi="宋体" w:eastAsia="宋体"/>
                <w:b w:val="0"/>
                <w:sz w:val="18"/>
              </w:rPr>
              <w:t>集中参数、等效热阻热容</w:t>
            </w:r>
          </w:p>
        </w:tc>
        <w:tc>
          <w:tcPr>
            <w:tcW w:type="dxa" w:w="3135"/>
            <w:vAlign w:val="center"/>
          </w:tcPr>
          <w:p>
            <w:pPr>
              <w:jc w:val="center"/>
            </w:pPr>
            <w:r/>
            <w:r>
              <w:rPr>
                <w:rFonts w:ascii="宋体" w:hAnsi="宋体" w:eastAsia="宋体"/>
                <w:b w:val="0"/>
                <w:sz w:val="18"/>
              </w:rPr>
              <w:t>适合温升趋势和占空比比较</w:t>
            </w:r>
          </w:p>
        </w:tc>
      </w:tr>
    </w:tbl>
    <w:p>
      <w:pPr>
        <w:jc w:val="center"/>
      </w:pPr>
      <w:r>
        <w:rPr>
          <w:rFonts w:ascii="宋体" w:hAnsi="宋体" w:eastAsia="宋体"/>
          <w:b w:val="0"/>
          <w:sz w:val="19"/>
        </w:rPr>
        <w:t>表2  电磁执行公式的适用范围</w:t>
      </w:r>
    </w:p>
    <w:p>
      <w:pPr>
        <w:keepNext/>
        <w:spacing w:before="180" w:after="80"/>
      </w:pPr>
      <w:r>
        <w:rPr>
          <w:rFonts w:ascii="黑体" w:hAnsi="黑体" w:eastAsia="黑体"/>
          <w:b/>
          <w:sz w:val="30"/>
        </w:rPr>
        <w:t>4 激光模块理论模型</w:t>
      </w:r>
    </w:p>
    <w:p>
      <w:pPr>
        <w:keepNext/>
        <w:spacing w:before="180" w:after="80"/>
      </w:pPr>
      <w:r>
        <w:rPr>
          <w:rFonts w:ascii="黑体" w:hAnsi="黑体" w:eastAsia="黑体"/>
          <w:b/>
          <w:sz w:val="25"/>
        </w:rPr>
        <w:t>4.1 结构与电光转换</w:t>
      </w:r>
    </w:p>
    <w:p>
      <w:pPr>
        <w:spacing w:line="360" w:lineRule="auto" w:after="60"/>
        <w:ind w:firstLine="420"/>
        <w:jc w:val="both"/>
      </w:pPr>
      <w:r>
        <w:rPr>
          <w:rFonts w:ascii="宋体" w:hAnsi="宋体" w:eastAsia="宋体"/>
          <w:b w:val="0"/>
          <w:sz w:val="21"/>
        </w:rPr>
        <w:t>半导体激光模块通常由激光二极管、恒流驱动器、准直/整形透镜、安装座和出光窗口组成。国内关于半导体激光准直和束散角测试的研究表明，激光二极管快、慢轴发散特性明显不同，工程上常借助非球面透镜或多片光学系统进行准直</w:t>
      </w:r>
      <w:r>
        <w:rPr>
          <w:rFonts w:ascii="Times New Roman" w:hAnsi="Times New Roman"/>
          <w:sz w:val="21"/>
        </w:rPr>
        <w:t>[11-13]。</w:t>
      </w:r>
    </w:p>
    <w:p>
      <w:pPr>
        <w:spacing w:line="360" w:lineRule="auto" w:after="60"/>
        <w:ind w:firstLine="420"/>
        <w:jc w:val="both"/>
      </w:pPr>
      <w:r>
        <w:rPr>
          <w:rFonts w:ascii="宋体" w:hAnsi="宋体" w:eastAsia="宋体"/>
          <w:b w:val="0"/>
          <w:sz w:val="21"/>
        </w:rPr>
        <w:t>半导体激光器的基本器件物理和电光转换关系可参考专业著作；激光二极管经准直透镜后的传播也已有专门的理论与实验研究</w:t>
      </w:r>
      <w:r>
        <w:rPr>
          <w:rFonts w:ascii="Times New Roman" w:hAnsi="Times New Roman"/>
          <w:sz w:val="21"/>
        </w:rPr>
        <w:t>[14-15]。</w:t>
      </w:r>
    </w:p>
    <w:p>
      <w:pPr>
        <w:jc w:val="center"/>
      </w:pPr>
      <w:r>
        <w:drawing>
          <wp:inline xmlns:a="http://schemas.openxmlformats.org/drawingml/2006/main" xmlns:pic="http://schemas.openxmlformats.org/drawingml/2006/picture">
            <wp:extent cx="5508000" cy="2056446"/>
            <wp:docPr id="24" name="Picture 24"/>
            <wp:cNvGraphicFramePr>
              <a:graphicFrameLocks noChangeAspect="1"/>
            </wp:cNvGraphicFramePr>
            <a:graphic>
              <a:graphicData uri="http://schemas.openxmlformats.org/drawingml/2006/picture">
                <pic:pic>
                  <pic:nvPicPr>
                    <pic:cNvPr id="0" name="fig06_laser.png"/>
                    <pic:cNvPicPr/>
                  </pic:nvPicPr>
                  <pic:blipFill>
                    <a:blip r:embed="rId33"/>
                    <a:stretch>
                      <a:fillRect/>
                    </a:stretch>
                  </pic:blipFill>
                  <pic:spPr>
                    <a:xfrm>
                      <a:off x="0" y="0"/>
                      <a:ext cx="5508000" cy="2056446"/>
                    </a:xfrm>
                    <a:prstGeom prst="rect"/>
                  </pic:spPr>
                </pic:pic>
              </a:graphicData>
            </a:graphic>
          </wp:inline>
        </w:drawing>
      </w:r>
    </w:p>
    <w:p>
      <w:pPr>
        <w:jc w:val="center"/>
      </w:pPr>
      <w:r>
        <w:rPr>
          <w:rFonts w:ascii="宋体" w:hAnsi="宋体" w:eastAsia="宋体"/>
          <w:b w:val="0"/>
          <w:sz w:val="19"/>
        </w:rPr>
        <w:t>图6  激光二极管模块及准直光路示意图</w:t>
      </w:r>
    </w:p>
    <w:p>
      <w:pPr>
        <w:spacing w:line="360" w:lineRule="auto" w:after="60"/>
        <w:ind w:firstLine="420"/>
        <w:jc w:val="both"/>
      </w:pPr>
      <w:r>
        <w:rPr>
          <w:rFonts w:ascii="宋体" w:hAnsi="宋体" w:eastAsia="宋体"/>
          <w:b w:val="0"/>
          <w:sz w:val="21"/>
        </w:rPr>
        <w:t>在阈值以上且工作区间不太宽时，输出光功率可作线性近似：</w:t>
      </w:r>
    </w:p>
    <w:p>
      <w:pPr>
        <w:spacing w:before="40" w:after="40"/>
        <w:jc w:val="center"/>
      </w:pPr>
      <w:r>
        <w:drawing>
          <wp:inline xmlns:a="http://schemas.openxmlformats.org/drawingml/2006/main" xmlns:pic="http://schemas.openxmlformats.org/drawingml/2006/picture">
            <wp:extent cx="5580000" cy="334328"/>
            <wp:docPr id="25" name="Picture 25"/>
            <wp:cNvGraphicFramePr>
              <a:graphicFrameLocks noChangeAspect="1"/>
            </wp:cNvGraphicFramePr>
            <a:graphic>
              <a:graphicData uri="http://schemas.openxmlformats.org/drawingml/2006/picture">
                <pic:pic>
                  <pic:nvPicPr>
                    <pic:cNvPr id="0" name="eq_19.png"/>
                    <pic:cNvPicPr/>
                  </pic:nvPicPr>
                  <pic:blipFill>
                    <a:blip r:embed="rId34"/>
                    <a:stretch>
                      <a:fillRect/>
                    </a:stretch>
                  </pic:blipFill>
                  <pic:spPr>
                    <a:xfrm>
                      <a:off x="0" y="0"/>
                      <a:ext cx="5580000" cy="334328"/>
                    </a:xfrm>
                    <a:prstGeom prst="rect"/>
                  </pic:spPr>
                </pic:pic>
              </a:graphicData>
            </a:graphic>
          </wp:inline>
        </w:drawing>
      </w:r>
    </w:p>
    <w:p>
      <w:pPr>
        <w:spacing w:line="360" w:lineRule="auto" w:after="60"/>
        <w:ind w:firstLine="420"/>
        <w:jc w:val="both"/>
      </w:pPr>
      <w:r>
        <w:rPr>
          <w:rFonts w:ascii="宋体" w:hAnsi="宋体" w:eastAsia="宋体"/>
          <w:b w:val="0"/>
          <w:sz w:val="21"/>
        </w:rPr>
        <w:t>其中ηs=dPopt/dI为斜率效率，单位通常为W/A，而不是无量纲效率。电光转换效率可定义为</w:t>
      </w:r>
    </w:p>
    <w:p>
      <w:pPr>
        <w:spacing w:before="40" w:after="40"/>
        <w:jc w:val="center"/>
      </w:pPr>
      <w:r>
        <w:drawing>
          <wp:inline xmlns:a="http://schemas.openxmlformats.org/drawingml/2006/main" xmlns:pic="http://schemas.openxmlformats.org/drawingml/2006/picture">
            <wp:extent cx="5580000" cy="521547"/>
            <wp:docPr id="26" name="Picture 26"/>
            <wp:cNvGraphicFramePr>
              <a:graphicFrameLocks noChangeAspect="1"/>
            </wp:cNvGraphicFramePr>
            <a:graphic>
              <a:graphicData uri="http://schemas.openxmlformats.org/drawingml/2006/picture">
                <pic:pic>
                  <pic:nvPicPr>
                    <pic:cNvPr id="0" name="eq_20.png"/>
                    <pic:cNvPicPr/>
                  </pic:nvPicPr>
                  <pic:blipFill>
                    <a:blip r:embed="rId35"/>
                    <a:stretch>
                      <a:fillRect/>
                    </a:stretch>
                  </pic:blipFill>
                  <pic:spPr>
                    <a:xfrm>
                      <a:off x="0" y="0"/>
                      <a:ext cx="5580000" cy="521547"/>
                    </a:xfrm>
                    <a:prstGeom prst="rect"/>
                  </pic:spPr>
                </pic:pic>
              </a:graphicData>
            </a:graphic>
          </wp:inline>
        </w:drawing>
      </w:r>
    </w:p>
    <w:p>
      <w:pPr>
        <w:spacing w:line="360" w:lineRule="auto" w:after="60"/>
        <w:ind w:firstLine="420"/>
        <w:jc w:val="both"/>
      </w:pPr>
      <w:r>
        <w:rPr>
          <w:rFonts w:ascii="宋体" w:hAnsi="宋体" w:eastAsia="宋体"/>
          <w:b w:val="0"/>
          <w:sz w:val="21"/>
        </w:rPr>
        <w:t>式中Vf为激光二极管或模块工作电压。由于实际模块型号尚未确认，本文不根据上述关系反推具体波长、阈值电流或输出功率。</w:t>
      </w:r>
    </w:p>
    <w:p>
      <w:pPr>
        <w:keepNext/>
        <w:spacing w:before="180" w:after="80"/>
      </w:pPr>
      <w:r>
        <w:rPr>
          <w:rFonts w:ascii="黑体" w:hAnsi="黑体" w:eastAsia="黑体"/>
          <w:b/>
          <w:sz w:val="25"/>
        </w:rPr>
        <w:t>4.2 高斯光束传播</w:t>
      </w:r>
    </w:p>
    <w:p>
      <w:pPr>
        <w:spacing w:line="360" w:lineRule="auto" w:after="60"/>
        <w:ind w:firstLine="420"/>
        <w:jc w:val="both"/>
      </w:pPr>
      <w:r>
        <w:rPr>
          <w:rFonts w:ascii="宋体" w:hAnsi="宋体" w:eastAsia="宋体"/>
          <w:b w:val="0"/>
          <w:sz w:val="21"/>
        </w:rPr>
        <w:t>在近轴、基模高斯光束近似下，束腰位于z0处时，理想高斯光束的1/e²光强半径为</w:t>
      </w:r>
      <w:r>
        <w:rPr>
          <w:rFonts w:ascii="Times New Roman" w:hAnsi="Times New Roman"/>
          <w:sz w:val="21"/>
        </w:rPr>
        <w:t>[16]：</w:t>
      </w:r>
    </w:p>
    <w:p>
      <w:pPr>
        <w:spacing w:before="40" w:after="40"/>
        <w:jc w:val="center"/>
      </w:pPr>
      <w:r>
        <w:drawing>
          <wp:inline xmlns:a="http://schemas.openxmlformats.org/drawingml/2006/main" xmlns:pic="http://schemas.openxmlformats.org/drawingml/2006/picture">
            <wp:extent cx="5580000" cy="510777"/>
            <wp:docPr id="27" name="Picture 27"/>
            <wp:cNvGraphicFramePr>
              <a:graphicFrameLocks noChangeAspect="1"/>
            </wp:cNvGraphicFramePr>
            <a:graphic>
              <a:graphicData uri="http://schemas.openxmlformats.org/drawingml/2006/picture">
                <pic:pic>
                  <pic:nvPicPr>
                    <pic:cNvPr id="0" name="eq_21.png"/>
                    <pic:cNvPicPr/>
                  </pic:nvPicPr>
                  <pic:blipFill>
                    <a:blip r:embed="rId36"/>
                    <a:stretch>
                      <a:fillRect/>
                    </a:stretch>
                  </pic:blipFill>
                  <pic:spPr>
                    <a:xfrm>
                      <a:off x="0" y="0"/>
                      <a:ext cx="5580000" cy="51077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554604"/>
            <wp:docPr id="28" name="Picture 28"/>
            <wp:cNvGraphicFramePr>
              <a:graphicFrameLocks noChangeAspect="1"/>
            </wp:cNvGraphicFramePr>
            <a:graphic>
              <a:graphicData uri="http://schemas.openxmlformats.org/drawingml/2006/picture">
                <pic:pic>
                  <pic:nvPicPr>
                    <pic:cNvPr id="0" name="eq_22.png"/>
                    <pic:cNvPicPr/>
                  </pic:nvPicPr>
                  <pic:blipFill>
                    <a:blip r:embed="rId37"/>
                    <a:stretch>
                      <a:fillRect/>
                    </a:stretch>
                  </pic:blipFill>
                  <pic:spPr>
                    <a:xfrm>
                      <a:off x="0" y="0"/>
                      <a:ext cx="5580000" cy="554604"/>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457933"/>
            <wp:docPr id="29" name="Picture 29"/>
            <wp:cNvGraphicFramePr>
              <a:graphicFrameLocks noChangeAspect="1"/>
            </wp:cNvGraphicFramePr>
            <a:graphic>
              <a:graphicData uri="http://schemas.openxmlformats.org/drawingml/2006/picture">
                <pic:pic>
                  <pic:nvPicPr>
                    <pic:cNvPr id="0" name="eq_23.png"/>
                    <pic:cNvPicPr/>
                  </pic:nvPicPr>
                  <pic:blipFill>
                    <a:blip r:embed="rId38"/>
                    <a:stretch>
                      <a:fillRect/>
                    </a:stretch>
                  </pic:blipFill>
                  <pic:spPr>
                    <a:xfrm>
                      <a:off x="0" y="0"/>
                      <a:ext cx="5580000" cy="457933"/>
                    </a:xfrm>
                    <a:prstGeom prst="rect"/>
                  </pic:spPr>
                </pic:pic>
              </a:graphicData>
            </a:graphic>
          </wp:inline>
        </w:drawing>
      </w:r>
    </w:p>
    <w:p>
      <w:pPr>
        <w:spacing w:line="360" w:lineRule="auto" w:after="60"/>
        <w:ind w:firstLine="420"/>
        <w:jc w:val="both"/>
      </w:pPr>
      <w:r>
        <w:rPr>
          <w:rFonts w:ascii="宋体" w:hAnsi="宋体" w:eastAsia="宋体"/>
          <w:b w:val="0"/>
          <w:sz w:val="21"/>
        </w:rPr>
        <w:t>对于实际非理想光束，可使用M²因子修正传播关系。若w仍定义为1/e²半径，则</w:t>
      </w:r>
    </w:p>
    <w:p>
      <w:pPr>
        <w:spacing w:before="40" w:after="40"/>
        <w:jc w:val="center"/>
      </w:pPr>
      <w:r>
        <w:drawing>
          <wp:inline xmlns:a="http://schemas.openxmlformats.org/drawingml/2006/main" xmlns:pic="http://schemas.openxmlformats.org/drawingml/2006/picture">
            <wp:extent cx="5580000" cy="634933"/>
            <wp:docPr id="30" name="Picture 30"/>
            <wp:cNvGraphicFramePr>
              <a:graphicFrameLocks noChangeAspect="1"/>
            </wp:cNvGraphicFramePr>
            <a:graphic>
              <a:graphicData uri="http://schemas.openxmlformats.org/drawingml/2006/picture">
                <pic:pic>
                  <pic:nvPicPr>
                    <pic:cNvPr id="0" name="eq_24.png"/>
                    <pic:cNvPicPr/>
                  </pic:nvPicPr>
                  <pic:blipFill>
                    <a:blip r:embed="rId39"/>
                    <a:stretch>
                      <a:fillRect/>
                    </a:stretch>
                  </pic:blipFill>
                  <pic:spPr>
                    <a:xfrm>
                      <a:off x="0" y="0"/>
                      <a:ext cx="5580000" cy="634933"/>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490675"/>
            <wp:docPr id="31" name="Picture 31"/>
            <wp:cNvGraphicFramePr>
              <a:graphicFrameLocks noChangeAspect="1"/>
            </wp:cNvGraphicFramePr>
            <a:graphic>
              <a:graphicData uri="http://schemas.openxmlformats.org/drawingml/2006/picture">
                <pic:pic>
                  <pic:nvPicPr>
                    <pic:cNvPr id="0" name="eq_25.png"/>
                    <pic:cNvPicPr/>
                  </pic:nvPicPr>
                  <pic:blipFill>
                    <a:blip r:embed="rId40"/>
                    <a:stretch>
                      <a:fillRect/>
                    </a:stretch>
                  </pic:blipFill>
                  <pic:spPr>
                    <a:xfrm>
                      <a:off x="0" y="0"/>
                      <a:ext cx="5580000" cy="490675"/>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365196"/>
            <wp:docPr id="32" name="Picture 32"/>
            <wp:cNvGraphicFramePr>
              <a:graphicFrameLocks noChangeAspect="1"/>
            </wp:cNvGraphicFramePr>
            <a:graphic>
              <a:graphicData uri="http://schemas.openxmlformats.org/drawingml/2006/picture">
                <pic:pic>
                  <pic:nvPicPr>
                    <pic:cNvPr id="0" name="eq_26.png"/>
                    <pic:cNvPicPr/>
                  </pic:nvPicPr>
                  <pic:blipFill>
                    <a:blip r:embed="rId41"/>
                    <a:stretch>
                      <a:fillRect/>
                    </a:stretch>
                  </pic:blipFill>
                  <pic:spPr>
                    <a:xfrm>
                      <a:off x="0" y="0"/>
                      <a:ext cx="5580000" cy="365196"/>
                    </a:xfrm>
                    <a:prstGeom prst="rect"/>
                  </pic:spPr>
                </pic:pic>
              </a:graphicData>
            </a:graphic>
          </wp:inline>
        </w:drawing>
      </w:r>
    </w:p>
    <w:p>
      <w:pPr>
        <w:spacing w:line="360" w:lineRule="auto" w:after="60"/>
        <w:ind w:firstLine="420"/>
        <w:jc w:val="both"/>
      </w:pPr>
      <w:r>
        <w:rPr>
          <w:rFonts w:ascii="宋体" w:hAnsi="宋体" w:eastAsia="宋体"/>
          <w:b w:val="0"/>
          <w:sz w:val="21"/>
        </w:rPr>
        <w:t>其中θ为远场半发散角。ISO 11146采用二阶矩方法定义光束宽度、发散角和M²参数，正式测试时应按相应标准确定口径与拟合方法，而不能把简单的几何光斑直径与标准二阶矩光束宽度混用</w:t>
      </w:r>
      <w:r>
        <w:rPr>
          <w:rFonts w:ascii="Times New Roman" w:hAnsi="Times New Roman"/>
          <w:sz w:val="21"/>
        </w:rPr>
        <w:t>[17]。</w:t>
      </w:r>
    </w:p>
    <w:p>
      <w:pPr>
        <w:jc w:val="center"/>
      </w:pPr>
      <w:r>
        <w:drawing>
          <wp:inline xmlns:a="http://schemas.openxmlformats.org/drawingml/2006/main" xmlns:pic="http://schemas.openxmlformats.org/drawingml/2006/picture">
            <wp:extent cx="5508000" cy="2160616"/>
            <wp:docPr id="33" name="Picture 33"/>
            <wp:cNvGraphicFramePr>
              <a:graphicFrameLocks noChangeAspect="1"/>
            </wp:cNvGraphicFramePr>
            <a:graphic>
              <a:graphicData uri="http://schemas.openxmlformats.org/drawingml/2006/picture">
                <pic:pic>
                  <pic:nvPicPr>
                    <pic:cNvPr id="0" name="fig07_gaussian.png"/>
                    <pic:cNvPicPr/>
                  </pic:nvPicPr>
                  <pic:blipFill>
                    <a:blip r:embed="rId42"/>
                    <a:stretch>
                      <a:fillRect/>
                    </a:stretch>
                  </pic:blipFill>
                  <pic:spPr>
                    <a:xfrm>
                      <a:off x="0" y="0"/>
                      <a:ext cx="5508000" cy="2160616"/>
                    </a:xfrm>
                    <a:prstGeom prst="rect"/>
                  </pic:spPr>
                </pic:pic>
              </a:graphicData>
            </a:graphic>
          </wp:inline>
        </w:drawing>
      </w:r>
    </w:p>
    <w:p>
      <w:pPr>
        <w:jc w:val="center"/>
      </w:pPr>
      <w:r>
        <w:rPr>
          <w:rFonts w:ascii="宋体" w:hAnsi="宋体" w:eastAsia="宋体"/>
          <w:b w:val="0"/>
          <w:sz w:val="19"/>
        </w:rPr>
        <w:t>图7  高斯光束束腰与远场发散示意图</w:t>
      </w:r>
    </w:p>
    <w:p>
      <w:pPr>
        <w:keepNext/>
        <w:spacing w:before="180" w:after="80"/>
      </w:pPr>
      <w:r>
        <w:rPr>
          <w:rFonts w:ascii="黑体" w:hAnsi="黑体" w:eastAsia="黑体"/>
          <w:b/>
          <w:sz w:val="25"/>
        </w:rPr>
        <w:t>4.3 光轴偏差与两点法估算</w:t>
      </w:r>
    </w:p>
    <w:p>
      <w:pPr>
        <w:spacing w:line="360" w:lineRule="auto" w:after="60"/>
        <w:ind w:firstLine="420"/>
        <w:jc w:val="both"/>
      </w:pPr>
      <w:r>
        <w:rPr>
          <w:rFonts w:ascii="宋体" w:hAnsi="宋体" w:eastAsia="宋体"/>
          <w:b w:val="0"/>
          <w:sz w:val="21"/>
        </w:rPr>
        <w:t>若在距离L处测得光斑中心相对机械基准轴的横向偏移Δy，则光轴夹角为</w:t>
      </w:r>
    </w:p>
    <w:p>
      <w:pPr>
        <w:spacing w:before="40" w:after="40"/>
        <w:jc w:val="center"/>
      </w:pPr>
      <w:r>
        <w:drawing>
          <wp:inline xmlns:a="http://schemas.openxmlformats.org/drawingml/2006/main" xmlns:pic="http://schemas.openxmlformats.org/drawingml/2006/picture">
            <wp:extent cx="5580000" cy="389408"/>
            <wp:docPr id="34" name="Picture 34"/>
            <wp:cNvGraphicFramePr>
              <a:graphicFrameLocks noChangeAspect="1"/>
            </wp:cNvGraphicFramePr>
            <a:graphic>
              <a:graphicData uri="http://schemas.openxmlformats.org/drawingml/2006/picture">
                <pic:pic>
                  <pic:nvPicPr>
                    <pic:cNvPr id="0" name="eq_27.png"/>
                    <pic:cNvPicPr/>
                  </pic:nvPicPr>
                  <pic:blipFill>
                    <a:blip r:embed="rId43"/>
                    <a:stretch>
                      <a:fillRect/>
                    </a:stretch>
                  </pic:blipFill>
                  <pic:spPr>
                    <a:xfrm>
                      <a:off x="0" y="0"/>
                      <a:ext cx="5580000" cy="389408"/>
                    </a:xfrm>
                    <a:prstGeom prst="rect"/>
                  </pic:spPr>
                </pic:pic>
              </a:graphicData>
            </a:graphic>
          </wp:inline>
        </w:drawing>
      </w:r>
    </w:p>
    <w:p>
      <w:pPr>
        <w:spacing w:line="360" w:lineRule="auto" w:after="60"/>
        <w:ind w:firstLine="420"/>
        <w:jc w:val="both"/>
      </w:pPr>
      <w:r>
        <w:rPr>
          <w:rFonts w:ascii="宋体" w:hAnsi="宋体" w:eastAsia="宋体"/>
          <w:b w:val="0"/>
          <w:sz w:val="21"/>
        </w:rPr>
        <w:t>这里α的单位应使用rad或mrad，不建议把Δy/L直接乘100%称为“相对指向偏差”，因为工程上更常用角度表示指向误差。若仅在远场近似下利用两个截面的光斑直径估算全角发散角Θ，可写为</w:t>
      </w:r>
    </w:p>
    <w:p>
      <w:pPr>
        <w:spacing w:before="40" w:after="40"/>
        <w:jc w:val="center"/>
      </w:pPr>
      <w:r>
        <w:drawing>
          <wp:inline xmlns:a="http://schemas.openxmlformats.org/drawingml/2006/main" xmlns:pic="http://schemas.openxmlformats.org/drawingml/2006/picture">
            <wp:extent cx="5580000" cy="412413"/>
            <wp:docPr id="35" name="Picture 35"/>
            <wp:cNvGraphicFramePr>
              <a:graphicFrameLocks noChangeAspect="1"/>
            </wp:cNvGraphicFramePr>
            <a:graphic>
              <a:graphicData uri="http://schemas.openxmlformats.org/drawingml/2006/picture">
                <pic:pic>
                  <pic:nvPicPr>
                    <pic:cNvPr id="0" name="eq_28.png"/>
                    <pic:cNvPicPr/>
                  </pic:nvPicPr>
                  <pic:blipFill>
                    <a:blip r:embed="rId44"/>
                    <a:stretch>
                      <a:fillRect/>
                    </a:stretch>
                  </pic:blipFill>
                  <pic:spPr>
                    <a:xfrm>
                      <a:off x="0" y="0"/>
                      <a:ext cx="5580000" cy="412413"/>
                    </a:xfrm>
                    <a:prstGeom prst="rect"/>
                  </pic:spPr>
                </pic:pic>
              </a:graphicData>
            </a:graphic>
          </wp:inline>
        </w:drawing>
      </w:r>
    </w:p>
    <w:p>
      <w:pPr>
        <w:spacing w:line="360" w:lineRule="auto" w:after="60"/>
        <w:ind w:firstLine="420"/>
        <w:jc w:val="both"/>
      </w:pPr>
      <w:r>
        <w:rPr>
          <w:rFonts w:ascii="宋体" w:hAnsi="宋体" w:eastAsia="宋体"/>
          <w:b w:val="0"/>
          <w:sz w:val="21"/>
        </w:rPr>
        <w:t>式（28）是远场线性近似，不适用于束腰附近。若需要规范的M²和发散角结果，应采用多截面拟合并参考ISO 11146</w:t>
      </w:r>
      <w:r>
        <w:rPr>
          <w:rFonts w:ascii="Times New Roman" w:hAnsi="Times New Roman"/>
          <w:sz w:val="21"/>
        </w:rPr>
        <w:t>[17]。</w:t>
      </w:r>
    </w:p>
    <w:p>
      <w:pPr>
        <w:spacing w:line="360" w:lineRule="auto" w:after="60"/>
        <w:ind w:firstLine="420"/>
        <w:jc w:val="both"/>
      </w:pPr>
      <w:r>
        <w:rPr>
          <w:rFonts w:ascii="宋体" w:hAnsi="宋体" w:eastAsia="宋体"/>
          <w:b w:val="0"/>
          <w:sz w:val="21"/>
        </w:rPr>
        <w:t>同类激光模块外观和安装方式可以参考制造商产品资料，但制造商网页只能用于结构示意，不能据此认定本模型采用相同品牌、波长或功率等级</w:t>
      </w:r>
      <w:r>
        <w:rPr>
          <w:rFonts w:ascii="Times New Roman" w:hAnsi="Times New Roman"/>
          <w:sz w:val="21"/>
        </w:rPr>
        <w:t>[18]。</w:t>
      </w:r>
    </w:p>
    <w:p>
      <w:pPr>
        <w:keepNext/>
        <w:spacing w:before="180" w:after="80"/>
      </w:pPr>
      <w:r>
        <w:rPr>
          <w:rFonts w:ascii="黑体" w:hAnsi="黑体" w:eastAsia="黑体"/>
          <w:b/>
          <w:sz w:val="25"/>
        </w:rPr>
        <w:t>4.4 激光安全与电池安全</w:t>
      </w:r>
    </w:p>
    <w:p>
      <w:pPr>
        <w:spacing w:line="360" w:lineRule="auto" w:after="60"/>
        <w:ind w:firstLine="420"/>
        <w:jc w:val="both"/>
      </w:pPr>
      <w:r>
        <w:rPr>
          <w:rFonts w:ascii="宋体" w:hAnsi="宋体" w:eastAsia="宋体"/>
          <w:b w:val="0"/>
          <w:sz w:val="21"/>
        </w:rPr>
        <w:t>在尚未确认激光波长、输出功率和安全等级前，不应直视出光口，也不应对人员、镜面或高反射表面进行照射。激光产品的分类、标识和安全要求应以现行国家标准GB/T 7247.1-2024为依据</w:t>
      </w:r>
      <w:r>
        <w:rPr>
          <w:rFonts w:ascii="Times New Roman" w:hAnsi="Times New Roman"/>
          <w:sz w:val="21"/>
        </w:rPr>
        <w:t>[19]。</w:t>
      </w:r>
    </w:p>
    <w:p>
      <w:pPr>
        <w:spacing w:line="360" w:lineRule="auto" w:after="60"/>
        <w:ind w:firstLine="420"/>
        <w:jc w:val="both"/>
      </w:pPr>
      <w:r>
        <w:rPr>
          <w:rFonts w:ascii="宋体" w:hAnsi="宋体" w:eastAsia="宋体"/>
          <w:b w:val="0"/>
          <w:sz w:val="21"/>
        </w:rPr>
        <w:t>锂离子电池组在拆装和测试过程中应避免短路、反接、过充、过放和机械损伤；便携式电子产品用锂离子电池和电池组的安全要求可参考GB 31241-2022</w:t>
      </w:r>
      <w:r>
        <w:rPr>
          <w:rFonts w:ascii="Times New Roman" w:hAnsi="Times New Roman"/>
          <w:sz w:val="21"/>
        </w:rPr>
        <w:t>[20]。</w:t>
      </w:r>
    </w:p>
    <w:p>
      <w:pPr>
        <w:keepNext/>
        <w:spacing w:before="180" w:after="80"/>
      </w:pPr>
      <w:r>
        <w:rPr>
          <w:rFonts w:ascii="黑体" w:hAnsi="黑体" w:eastAsia="黑体"/>
          <w:b/>
          <w:sz w:val="30"/>
        </w:rPr>
        <w:t>5 电磁—激光协同工作链路</w:t>
      </w:r>
    </w:p>
    <w:p>
      <w:pPr>
        <w:spacing w:line="360" w:lineRule="auto" w:after="60"/>
        <w:ind w:firstLine="420"/>
        <w:jc w:val="both"/>
      </w:pPr>
      <w:r>
        <w:rPr>
          <w:rFonts w:ascii="宋体" w:hAnsi="宋体" w:eastAsia="宋体"/>
          <w:b w:val="0"/>
          <w:sz w:val="21"/>
        </w:rPr>
        <w:t>从控制逻辑上，电磁支路与激光支路通常是并行输出，而不是简单的串行关系。因此，不宜把两支路所有延迟直接相加作为统一的“系统响应时间”。更合理的做法是分别定义机械反馈延迟和激光输出延迟，再评价两者的同步误差。</w:t>
      </w:r>
    </w:p>
    <w:p>
      <w:pPr>
        <w:spacing w:before="40" w:after="40"/>
        <w:jc w:val="center"/>
      </w:pPr>
      <w:r>
        <w:drawing>
          <wp:inline xmlns:a="http://schemas.openxmlformats.org/drawingml/2006/main" xmlns:pic="http://schemas.openxmlformats.org/drawingml/2006/picture">
            <wp:extent cx="5580000" cy="339872"/>
            <wp:docPr id="36" name="Picture 36"/>
            <wp:cNvGraphicFramePr>
              <a:graphicFrameLocks noChangeAspect="1"/>
            </wp:cNvGraphicFramePr>
            <a:graphic>
              <a:graphicData uri="http://schemas.openxmlformats.org/drawingml/2006/picture">
                <pic:pic>
                  <pic:nvPicPr>
                    <pic:cNvPr id="0" name="eq_29.png"/>
                    <pic:cNvPicPr/>
                  </pic:nvPicPr>
                  <pic:blipFill>
                    <a:blip r:embed="rId45"/>
                    <a:stretch>
                      <a:fillRect/>
                    </a:stretch>
                  </pic:blipFill>
                  <pic:spPr>
                    <a:xfrm>
                      <a:off x="0" y="0"/>
                      <a:ext cx="5580000" cy="339872"/>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342331"/>
            <wp:docPr id="37" name="Picture 37"/>
            <wp:cNvGraphicFramePr>
              <a:graphicFrameLocks noChangeAspect="1"/>
            </wp:cNvGraphicFramePr>
            <a:graphic>
              <a:graphicData uri="http://schemas.openxmlformats.org/drawingml/2006/picture">
                <pic:pic>
                  <pic:nvPicPr>
                    <pic:cNvPr id="0" name="eq_30.png"/>
                    <pic:cNvPicPr/>
                  </pic:nvPicPr>
                  <pic:blipFill>
                    <a:blip r:embed="rId46"/>
                    <a:stretch>
                      <a:fillRect/>
                    </a:stretch>
                  </pic:blipFill>
                  <pic:spPr>
                    <a:xfrm>
                      <a:off x="0" y="0"/>
                      <a:ext cx="5580000" cy="342331"/>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351042"/>
            <wp:docPr id="38" name="Picture 38"/>
            <wp:cNvGraphicFramePr>
              <a:graphicFrameLocks noChangeAspect="1"/>
            </wp:cNvGraphicFramePr>
            <a:graphic>
              <a:graphicData uri="http://schemas.openxmlformats.org/drawingml/2006/picture">
                <pic:pic>
                  <pic:nvPicPr>
                    <pic:cNvPr id="0" name="eq_31.png"/>
                    <pic:cNvPicPr/>
                  </pic:nvPicPr>
                  <pic:blipFill>
                    <a:blip r:embed="rId47"/>
                    <a:stretch>
                      <a:fillRect/>
                    </a:stretch>
                  </pic:blipFill>
                  <pic:spPr>
                    <a:xfrm>
                      <a:off x="0" y="0"/>
                      <a:ext cx="5580000" cy="351042"/>
                    </a:xfrm>
                    <a:prstGeom prst="rect"/>
                  </pic:spPr>
                </pic:pic>
              </a:graphicData>
            </a:graphic>
          </wp:inline>
        </w:drawing>
      </w:r>
    </w:p>
    <w:p>
      <w:pPr>
        <w:spacing w:line="360" w:lineRule="auto" w:after="60"/>
        <w:ind w:firstLine="420"/>
        <w:jc w:val="both"/>
      </w:pPr>
      <w:r>
        <w:rPr>
          <w:rFonts w:ascii="宋体" w:hAnsi="宋体" w:eastAsia="宋体"/>
          <w:b w:val="0"/>
          <w:sz w:val="21"/>
        </w:rPr>
        <w:t>其中te为电磁线圈电流建立阶段的等效延迟，tm为机械动作延迟，tdrv为激光驱动器开启延迟，topt为激光达到判定阈值的光学延迟。Δt可用于评价机械反馈与光学反馈是否同步。</w:t>
      </w:r>
    </w:p>
    <w:p>
      <w:pPr>
        <w:jc w:val="center"/>
      </w:pPr>
      <w:r>
        <w:drawing>
          <wp:inline xmlns:a="http://schemas.openxmlformats.org/drawingml/2006/main" xmlns:pic="http://schemas.openxmlformats.org/drawingml/2006/picture">
            <wp:extent cx="5508000" cy="2280041"/>
            <wp:docPr id="39" name="Picture 39"/>
            <wp:cNvGraphicFramePr>
              <a:graphicFrameLocks noChangeAspect="1"/>
            </wp:cNvGraphicFramePr>
            <a:graphic>
              <a:graphicData uri="http://schemas.openxmlformats.org/drawingml/2006/picture">
                <pic:pic>
                  <pic:nvPicPr>
                    <pic:cNvPr id="0" name="fig08_timing.png"/>
                    <pic:cNvPicPr/>
                  </pic:nvPicPr>
                  <pic:blipFill>
                    <a:blip r:embed="rId48"/>
                    <a:stretch>
                      <a:fillRect/>
                    </a:stretch>
                  </pic:blipFill>
                  <pic:spPr>
                    <a:xfrm>
                      <a:off x="0" y="0"/>
                      <a:ext cx="5508000" cy="2280041"/>
                    </a:xfrm>
                    <a:prstGeom prst="rect"/>
                  </pic:spPr>
                </pic:pic>
              </a:graphicData>
            </a:graphic>
          </wp:inline>
        </w:drawing>
      </w:r>
    </w:p>
    <w:p>
      <w:pPr>
        <w:jc w:val="center"/>
      </w:pPr>
      <w:r>
        <w:rPr>
          <w:rFonts w:ascii="宋体" w:hAnsi="宋体" w:eastAsia="宋体"/>
          <w:b w:val="0"/>
          <w:sz w:val="19"/>
        </w:rPr>
        <w:t>图8  一次触发过程的概念时序图</w:t>
      </w:r>
    </w:p>
    <w:p>
      <w:pPr>
        <w:keepNext/>
        <w:spacing w:before="180" w:after="80"/>
      </w:pPr>
      <w:r>
        <w:rPr>
          <w:rFonts w:ascii="黑体" w:hAnsi="黑体" w:eastAsia="黑体"/>
          <w:b/>
          <w:sz w:val="30"/>
        </w:rPr>
        <w:t>6 测试与验证方法</w:t>
      </w:r>
    </w:p>
    <w:p>
      <w:pPr>
        <w:spacing w:line="360" w:lineRule="auto" w:after="60"/>
        <w:ind w:firstLine="420"/>
        <w:jc w:val="both"/>
      </w:pPr>
      <w:r>
        <w:rPr>
          <w:rFonts w:ascii="宋体" w:hAnsi="宋体" w:eastAsia="宋体"/>
          <w:b w:val="0"/>
          <w:sz w:val="21"/>
        </w:rPr>
        <w:t>为验证上述功能性模型，可在不破坏装置结构的前提下同步采集扳机信号、线圈电流、外部可观测位移或振动以及激光输出信号。只有在确认电气接口和额定参数后，才应进行通电测试。</w:t>
      </w:r>
    </w:p>
    <w:p>
      <w:pPr>
        <w:jc w:val="center"/>
      </w:pPr>
      <w:r>
        <w:drawing>
          <wp:inline xmlns:a="http://schemas.openxmlformats.org/drawingml/2006/main" xmlns:pic="http://schemas.openxmlformats.org/drawingml/2006/picture">
            <wp:extent cx="5508000" cy="2002909"/>
            <wp:docPr id="40" name="Picture 40"/>
            <wp:cNvGraphicFramePr>
              <a:graphicFrameLocks noChangeAspect="1"/>
            </wp:cNvGraphicFramePr>
            <a:graphic>
              <a:graphicData uri="http://schemas.openxmlformats.org/drawingml/2006/picture">
                <pic:pic>
                  <pic:nvPicPr>
                    <pic:cNvPr id="0" name="fig09_test.png"/>
                    <pic:cNvPicPr/>
                  </pic:nvPicPr>
                  <pic:blipFill>
                    <a:blip r:embed="rId49"/>
                    <a:stretch>
                      <a:fillRect/>
                    </a:stretch>
                  </pic:blipFill>
                  <pic:spPr>
                    <a:xfrm>
                      <a:off x="0" y="0"/>
                      <a:ext cx="5508000" cy="2002909"/>
                    </a:xfrm>
                    <a:prstGeom prst="rect"/>
                  </pic:spPr>
                </pic:pic>
              </a:graphicData>
            </a:graphic>
          </wp:inline>
        </w:drawing>
      </w:r>
    </w:p>
    <w:p>
      <w:pPr>
        <w:jc w:val="center"/>
      </w:pPr>
      <w:r>
        <w:rPr>
          <w:rFonts w:ascii="宋体" w:hAnsi="宋体" w:eastAsia="宋体"/>
          <w:b w:val="0"/>
          <w:sz w:val="19"/>
        </w:rPr>
        <w:t>图9  电磁与激光联合测试原理图</w:t>
      </w:r>
    </w:p>
    <w:p>
      <w:pPr>
        <w:spacing w:before="40" w:after="40"/>
        <w:jc w:val="center"/>
      </w:pPr>
      <w:r>
        <w:drawing>
          <wp:inline xmlns:a="http://schemas.openxmlformats.org/drawingml/2006/main" xmlns:pic="http://schemas.openxmlformats.org/drawingml/2006/picture">
            <wp:extent cx="5580000" cy="330265"/>
            <wp:docPr id="41" name="Picture 41"/>
            <wp:cNvGraphicFramePr>
              <a:graphicFrameLocks noChangeAspect="1"/>
            </wp:cNvGraphicFramePr>
            <a:graphic>
              <a:graphicData uri="http://schemas.openxmlformats.org/drawingml/2006/picture">
                <pic:pic>
                  <pic:nvPicPr>
                    <pic:cNvPr id="0" name="eq_32.png"/>
                    <pic:cNvPicPr/>
                  </pic:nvPicPr>
                  <pic:blipFill>
                    <a:blip r:embed="rId50"/>
                    <a:stretch>
                      <a:fillRect/>
                    </a:stretch>
                  </pic:blipFill>
                  <pic:spPr>
                    <a:xfrm>
                      <a:off x="0" y="0"/>
                      <a:ext cx="5580000" cy="330265"/>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429230"/>
            <wp:docPr id="42" name="Picture 42"/>
            <wp:cNvGraphicFramePr>
              <a:graphicFrameLocks noChangeAspect="1"/>
            </wp:cNvGraphicFramePr>
            <a:graphic>
              <a:graphicData uri="http://schemas.openxmlformats.org/drawingml/2006/picture">
                <pic:pic>
                  <pic:nvPicPr>
                    <pic:cNvPr id="0" name="eq_33.png"/>
                    <pic:cNvPicPr/>
                  </pic:nvPicPr>
                  <pic:blipFill>
                    <a:blip r:embed="rId51"/>
                    <a:stretch>
                      <a:fillRect/>
                    </a:stretch>
                  </pic:blipFill>
                  <pic:spPr>
                    <a:xfrm>
                      <a:off x="0" y="0"/>
                      <a:ext cx="5580000" cy="429230"/>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579008"/>
            <wp:docPr id="43" name="Picture 43"/>
            <wp:cNvGraphicFramePr>
              <a:graphicFrameLocks noChangeAspect="1"/>
            </wp:cNvGraphicFramePr>
            <a:graphic>
              <a:graphicData uri="http://schemas.openxmlformats.org/drawingml/2006/picture">
                <pic:pic>
                  <pic:nvPicPr>
                    <pic:cNvPr id="0" name="eq_34.png"/>
                    <pic:cNvPicPr/>
                  </pic:nvPicPr>
                  <pic:blipFill>
                    <a:blip r:embed="rId52"/>
                    <a:stretch>
                      <a:fillRect/>
                    </a:stretch>
                  </pic:blipFill>
                  <pic:spPr>
                    <a:xfrm>
                      <a:off x="0" y="0"/>
                      <a:ext cx="5580000" cy="579008"/>
                    </a:xfrm>
                    <a:prstGeom prst="rect"/>
                  </pic:spPr>
                </pic:pic>
              </a:graphicData>
            </a:graphic>
          </wp:inline>
        </w:drawing>
      </w:r>
    </w:p>
    <w:p>
      <w:pPr>
        <w:spacing w:line="360" w:lineRule="auto" w:after="60"/>
        <w:ind w:firstLine="420"/>
        <w:jc w:val="both"/>
      </w:pPr>
      <w:r>
        <w:rPr>
          <w:rFonts w:ascii="宋体" w:hAnsi="宋体" w:eastAsia="宋体"/>
          <w:b w:val="0"/>
          <w:sz w:val="21"/>
        </w:rPr>
        <w:t>式（32）用于定义电流或位移的10%—90%上升时间；式（33）给出有效行程内平均运动速度；式（34）给出一次触发窗口内的电输入能量。</w:t>
      </w:r>
    </w:p>
    <w:p>
      <w:pPr>
        <w:spacing w:line="360" w:lineRule="auto" w:after="60"/>
        <w:ind w:firstLine="420"/>
        <w:jc w:val="both"/>
      </w:pPr>
      <w:r>
        <w:rPr>
          <w:rFonts w:ascii="宋体" w:hAnsi="宋体" w:eastAsia="宋体"/>
          <w:b w:val="0"/>
          <w:sz w:val="21"/>
        </w:rPr>
        <w:t>对于多次激光指向测试，可用平均指向角和样本标准差表征重复性：</w:t>
      </w:r>
    </w:p>
    <w:p>
      <w:pPr>
        <w:spacing w:before="40" w:after="40"/>
        <w:jc w:val="center"/>
      </w:pPr>
      <w:r>
        <w:drawing>
          <wp:inline xmlns:a="http://schemas.openxmlformats.org/drawingml/2006/main" xmlns:pic="http://schemas.openxmlformats.org/drawingml/2006/picture">
            <wp:extent cx="5580000" cy="822374"/>
            <wp:docPr id="44" name="Picture 44"/>
            <wp:cNvGraphicFramePr>
              <a:graphicFrameLocks noChangeAspect="1"/>
            </wp:cNvGraphicFramePr>
            <a:graphic>
              <a:graphicData uri="http://schemas.openxmlformats.org/drawingml/2006/picture">
                <pic:pic>
                  <pic:nvPicPr>
                    <pic:cNvPr id="0" name="eq_35.png"/>
                    <pic:cNvPicPr/>
                  </pic:nvPicPr>
                  <pic:blipFill>
                    <a:blip r:embed="rId53"/>
                    <a:stretch>
                      <a:fillRect/>
                    </a:stretch>
                  </pic:blipFill>
                  <pic:spPr>
                    <a:xfrm>
                      <a:off x="0" y="0"/>
                      <a:ext cx="5580000" cy="822374"/>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801974"/>
            <wp:docPr id="45" name="Picture 45"/>
            <wp:cNvGraphicFramePr>
              <a:graphicFrameLocks noChangeAspect="1"/>
            </wp:cNvGraphicFramePr>
            <a:graphic>
              <a:graphicData uri="http://schemas.openxmlformats.org/drawingml/2006/picture">
                <pic:pic>
                  <pic:nvPicPr>
                    <pic:cNvPr id="0" name="eq_36.png"/>
                    <pic:cNvPicPr/>
                  </pic:nvPicPr>
                  <pic:blipFill>
                    <a:blip r:embed="rId54"/>
                    <a:stretch>
                      <a:fillRect/>
                    </a:stretch>
                  </pic:blipFill>
                  <pic:spPr>
                    <a:xfrm>
                      <a:off x="0" y="0"/>
                      <a:ext cx="5580000" cy="801974"/>
                    </a:xfrm>
                    <a:prstGeom prst="rect"/>
                  </pic:spPr>
                </pic:pic>
              </a:graphicData>
            </a:graphic>
          </wp:inline>
        </w:drawing>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
              <w:rPr>
                <w:rFonts w:ascii="宋体" w:hAnsi="宋体" w:eastAsia="宋体"/>
                <w:b/>
                <w:sz w:val="19"/>
              </w:rPr>
              <w:t>测试项目</w:t>
            </w:r>
          </w:p>
        </w:tc>
        <w:tc>
          <w:tcPr>
            <w:tcW w:type="dxa" w:w="3135"/>
            <w:vAlign w:val="center"/>
          </w:tcPr>
          <w:p>
            <w:pPr>
              <w:jc w:val="center"/>
            </w:pPr>
            <w:r/>
            <w:r>
              <w:rPr>
                <w:rFonts w:ascii="宋体" w:hAnsi="宋体" w:eastAsia="宋体"/>
                <w:b/>
                <w:sz w:val="19"/>
              </w:rPr>
              <w:t>推荐量</w:t>
            </w:r>
          </w:p>
        </w:tc>
        <w:tc>
          <w:tcPr>
            <w:tcW w:type="dxa" w:w="3135"/>
            <w:vAlign w:val="center"/>
          </w:tcPr>
          <w:p>
            <w:pPr>
              <w:jc w:val="center"/>
            </w:pPr>
            <w:r/>
            <w:r>
              <w:rPr>
                <w:rFonts w:ascii="宋体" w:hAnsi="宋体" w:eastAsia="宋体"/>
                <w:b/>
                <w:sz w:val="19"/>
              </w:rPr>
              <w:t>主要目的</w:t>
            </w:r>
          </w:p>
        </w:tc>
      </w:tr>
      <w:tr>
        <w:tc>
          <w:tcPr>
            <w:tcW w:type="dxa" w:w="3135"/>
            <w:vAlign w:val="center"/>
          </w:tcPr>
          <w:p>
            <w:pPr>
              <w:jc w:val="center"/>
            </w:pPr>
            <w:r/>
            <w:r>
              <w:rPr>
                <w:rFonts w:ascii="宋体" w:hAnsi="宋体" w:eastAsia="宋体"/>
                <w:b w:val="0"/>
                <w:sz w:val="18"/>
              </w:rPr>
              <w:t>静态电气</w:t>
            </w:r>
          </w:p>
        </w:tc>
        <w:tc>
          <w:tcPr>
            <w:tcW w:type="dxa" w:w="3135"/>
            <w:vAlign w:val="center"/>
          </w:tcPr>
          <w:p>
            <w:pPr>
              <w:jc w:val="center"/>
            </w:pPr>
            <w:r/>
            <w:r>
              <w:rPr>
                <w:rFonts w:ascii="宋体" w:hAnsi="宋体" w:eastAsia="宋体"/>
                <w:b w:val="0"/>
                <w:sz w:val="18"/>
              </w:rPr>
              <w:t>线圈电阻、绝缘、接口极性</w:t>
            </w:r>
          </w:p>
        </w:tc>
        <w:tc>
          <w:tcPr>
            <w:tcW w:type="dxa" w:w="3135"/>
            <w:vAlign w:val="center"/>
          </w:tcPr>
          <w:p>
            <w:pPr>
              <w:jc w:val="center"/>
            </w:pPr>
            <w:r/>
            <w:r>
              <w:rPr>
                <w:rFonts w:ascii="宋体" w:hAnsi="宋体" w:eastAsia="宋体"/>
                <w:b w:val="0"/>
                <w:sz w:val="18"/>
              </w:rPr>
              <w:t>确认基本电气状态</w:t>
            </w:r>
          </w:p>
        </w:tc>
      </w:tr>
      <w:tr>
        <w:tc>
          <w:tcPr>
            <w:tcW w:type="dxa" w:w="3135"/>
            <w:vAlign w:val="center"/>
          </w:tcPr>
          <w:p>
            <w:pPr>
              <w:jc w:val="center"/>
            </w:pPr>
            <w:r/>
            <w:r>
              <w:rPr>
                <w:rFonts w:ascii="宋体" w:hAnsi="宋体" w:eastAsia="宋体"/>
                <w:b w:val="0"/>
                <w:sz w:val="18"/>
              </w:rPr>
              <w:t>电磁动态</w:t>
            </w:r>
          </w:p>
        </w:tc>
        <w:tc>
          <w:tcPr>
            <w:tcW w:type="dxa" w:w="3135"/>
            <w:vAlign w:val="center"/>
          </w:tcPr>
          <w:p>
            <w:pPr>
              <w:jc w:val="center"/>
            </w:pPr>
            <w:r/>
            <w:r>
              <w:rPr>
                <w:rFonts w:ascii="宋体" w:hAnsi="宋体" w:eastAsia="宋体"/>
                <w:b w:val="0"/>
                <w:sz w:val="18"/>
              </w:rPr>
              <w:t>u(t)、i(t)、位移/振动</w:t>
            </w:r>
          </w:p>
        </w:tc>
        <w:tc>
          <w:tcPr>
            <w:tcW w:type="dxa" w:w="3135"/>
            <w:vAlign w:val="center"/>
          </w:tcPr>
          <w:p>
            <w:pPr>
              <w:jc w:val="center"/>
            </w:pPr>
            <w:r/>
            <w:r>
              <w:rPr>
                <w:rFonts w:ascii="宋体" w:hAnsi="宋体" w:eastAsia="宋体"/>
                <w:b w:val="0"/>
                <w:sz w:val="18"/>
              </w:rPr>
              <w:t>识别电气与机械响应</w:t>
            </w:r>
          </w:p>
        </w:tc>
      </w:tr>
      <w:tr>
        <w:tc>
          <w:tcPr>
            <w:tcW w:type="dxa" w:w="3135"/>
            <w:vAlign w:val="center"/>
          </w:tcPr>
          <w:p>
            <w:pPr>
              <w:jc w:val="center"/>
            </w:pPr>
            <w:r/>
            <w:r>
              <w:rPr>
                <w:rFonts w:ascii="宋体" w:hAnsi="宋体" w:eastAsia="宋体"/>
                <w:b w:val="0"/>
                <w:sz w:val="18"/>
              </w:rPr>
              <w:t>热状态</w:t>
            </w:r>
          </w:p>
        </w:tc>
        <w:tc>
          <w:tcPr>
            <w:tcW w:type="dxa" w:w="3135"/>
            <w:vAlign w:val="center"/>
          </w:tcPr>
          <w:p>
            <w:pPr>
              <w:jc w:val="center"/>
            </w:pPr>
            <w:r/>
            <w:r>
              <w:rPr>
                <w:rFonts w:ascii="宋体" w:hAnsi="宋体" w:eastAsia="宋体"/>
                <w:b w:val="0"/>
                <w:sz w:val="18"/>
              </w:rPr>
              <w:t>线圈/外壳温度随时间</w:t>
            </w:r>
          </w:p>
        </w:tc>
        <w:tc>
          <w:tcPr>
            <w:tcW w:type="dxa" w:w="3135"/>
            <w:vAlign w:val="center"/>
          </w:tcPr>
          <w:p>
            <w:pPr>
              <w:jc w:val="center"/>
            </w:pPr>
            <w:r/>
            <w:r>
              <w:rPr>
                <w:rFonts w:ascii="宋体" w:hAnsi="宋体" w:eastAsia="宋体"/>
                <w:b w:val="0"/>
                <w:sz w:val="18"/>
              </w:rPr>
              <w:t>评估占空比和温升</w:t>
            </w:r>
          </w:p>
        </w:tc>
      </w:tr>
      <w:tr>
        <w:tc>
          <w:tcPr>
            <w:tcW w:type="dxa" w:w="3135"/>
            <w:vAlign w:val="center"/>
          </w:tcPr>
          <w:p>
            <w:pPr>
              <w:jc w:val="center"/>
            </w:pPr>
            <w:r/>
            <w:r>
              <w:rPr>
                <w:rFonts w:ascii="宋体" w:hAnsi="宋体" w:eastAsia="宋体"/>
                <w:b w:val="0"/>
                <w:sz w:val="18"/>
              </w:rPr>
              <w:t>激光输出</w:t>
            </w:r>
          </w:p>
        </w:tc>
        <w:tc>
          <w:tcPr>
            <w:tcW w:type="dxa" w:w="3135"/>
            <w:vAlign w:val="center"/>
          </w:tcPr>
          <w:p>
            <w:pPr>
              <w:jc w:val="center"/>
            </w:pPr>
            <w:r/>
            <w:r>
              <w:rPr>
                <w:rFonts w:ascii="宋体" w:hAnsi="宋体" w:eastAsia="宋体"/>
                <w:b w:val="0"/>
                <w:sz w:val="18"/>
              </w:rPr>
              <w:t>脉冲时序、光斑尺寸、中心位置</w:t>
            </w:r>
          </w:p>
        </w:tc>
        <w:tc>
          <w:tcPr>
            <w:tcW w:type="dxa" w:w="3135"/>
            <w:vAlign w:val="center"/>
          </w:tcPr>
          <w:p>
            <w:pPr>
              <w:jc w:val="center"/>
            </w:pPr>
            <w:r/>
            <w:r>
              <w:rPr>
                <w:rFonts w:ascii="宋体" w:hAnsi="宋体" w:eastAsia="宋体"/>
                <w:b w:val="0"/>
                <w:sz w:val="18"/>
              </w:rPr>
              <w:t>评价光学输出与指向</w:t>
            </w:r>
          </w:p>
        </w:tc>
      </w:tr>
      <w:tr>
        <w:tc>
          <w:tcPr>
            <w:tcW w:type="dxa" w:w="3135"/>
            <w:vAlign w:val="center"/>
          </w:tcPr>
          <w:p>
            <w:pPr>
              <w:jc w:val="center"/>
            </w:pPr>
            <w:r/>
            <w:r>
              <w:rPr>
                <w:rFonts w:ascii="宋体" w:hAnsi="宋体" w:eastAsia="宋体"/>
                <w:b w:val="0"/>
                <w:sz w:val="18"/>
              </w:rPr>
              <w:t>联合时序</w:t>
            </w:r>
          </w:p>
        </w:tc>
        <w:tc>
          <w:tcPr>
            <w:tcW w:type="dxa" w:w="3135"/>
            <w:vAlign w:val="center"/>
          </w:tcPr>
          <w:p>
            <w:pPr>
              <w:jc w:val="center"/>
            </w:pPr>
            <w:r/>
            <w:r>
              <w:rPr>
                <w:rFonts w:ascii="宋体" w:hAnsi="宋体" w:eastAsia="宋体"/>
                <w:b w:val="0"/>
                <w:sz w:val="18"/>
              </w:rPr>
              <w:t>扳机、电流、位移、光信号同步采集</w:t>
            </w:r>
          </w:p>
        </w:tc>
        <w:tc>
          <w:tcPr>
            <w:tcW w:type="dxa" w:w="3135"/>
            <w:vAlign w:val="center"/>
          </w:tcPr>
          <w:p>
            <w:pPr>
              <w:jc w:val="center"/>
            </w:pPr>
            <w:r/>
            <w:r>
              <w:rPr>
                <w:rFonts w:ascii="宋体" w:hAnsi="宋体" w:eastAsia="宋体"/>
                <w:b w:val="0"/>
                <w:sz w:val="18"/>
              </w:rPr>
              <w:t>获得Δt和重复性</w:t>
            </w:r>
          </w:p>
        </w:tc>
      </w:tr>
    </w:tbl>
    <w:p>
      <w:pPr>
        <w:jc w:val="center"/>
      </w:pPr>
      <w:r>
        <w:rPr>
          <w:rFonts w:ascii="宋体" w:hAnsi="宋体" w:eastAsia="宋体"/>
          <w:b w:val="0"/>
          <w:sz w:val="19"/>
        </w:rPr>
        <w:t>表3  建议的非破坏性测试项目</w:t>
      </w:r>
    </w:p>
    <w:p>
      <w:pPr>
        <w:keepNext/>
        <w:spacing w:before="180" w:after="80"/>
      </w:pPr>
      <w:r>
        <w:rPr>
          <w:rFonts w:ascii="黑体" w:hAnsi="黑体" w:eastAsia="黑体"/>
          <w:b/>
          <w:sz w:val="30"/>
        </w:rPr>
        <w:t>7 结论</w:t>
      </w:r>
    </w:p>
    <w:p>
      <w:pPr>
        <w:spacing w:line="360" w:lineRule="auto" w:after="60"/>
        <w:ind w:firstLine="420"/>
        <w:jc w:val="both"/>
      </w:pPr>
      <w:r>
        <w:rPr>
          <w:rFonts w:ascii="宋体" w:hAnsi="宋体" w:eastAsia="宋体"/>
          <w:b w:val="0"/>
          <w:sz w:val="21"/>
        </w:rPr>
        <w:t>本文在现有实物证据基础上，对原文档中的电磁与激光公式进行了系统校核。与原版本相比，主要修正包括：用分段磁阻与磁共能表达替代过度简化的平均磁路描述；在线圈电压方程中补充位置相关电感引起的运动反电动势；明确RL阶跃公式只适用于固定位置和近似恒定电感条件；使用I_rms²R描述周期电流铜耗并补充一阶热模型；在激光部分区分理想高斯光束与M²修正模型，明确光束直径定义；将原“相对指向偏差百分比”改为更规范的角度误差α；同时将电磁支路和激光支路的延迟分别建模，避免把并行链路简单相加。</w:t>
      </w:r>
    </w:p>
    <w:p>
      <w:pPr>
        <w:spacing w:line="360" w:lineRule="auto" w:after="60"/>
        <w:ind w:firstLine="420"/>
        <w:jc w:val="both"/>
      </w:pPr>
      <w:r>
        <w:rPr>
          <w:rFonts w:ascii="宋体" w:hAnsi="宋体" w:eastAsia="宋体"/>
          <w:b w:val="0"/>
          <w:sz w:val="21"/>
        </w:rPr>
        <w:t>由于电磁铁、激光器和控制板的具体型号仍未通过拆解或铭牌确认，本文所有结构位置与参数关系均属于功能性建模。后续应优先完成线束追踪、线圈电阻/电感测量、动作位移与温升测试，以及激光波长、功率等级和光束参数识别，再将实测数据代入本文模型进行验证。</w:t>
      </w:r>
    </w:p>
    <w:p>
      <w:pPr>
        <w:pStyle w:val="Heading1"/>
        <w:spacing w:before="160" w:after="80"/>
      </w:pPr>
      <w:r>
        <w:t>7 实物图与公开专利结构的对应分析</w:t>
      </w:r>
    </w:p>
    <w:p>
      <w:pPr>
        <w:spacing w:line="360" w:lineRule="auto" w:after="80"/>
        <w:ind w:firstLine="420"/>
        <w:jc w:val="both"/>
      </w:pPr>
      <w:r>
        <w:rPr>
          <w:rFonts w:ascii="宋体" w:hAnsi="宋体" w:eastAsia="宋体"/>
          <w:b w:val="0"/>
          <w:sz w:val="21"/>
        </w:rPr>
        <w:t>本轮补充图片时，本文不再把图片作为单纯的外观展示，而是把整机、侧部骨架、管状总成、前端金属管和锂电池组分别对应到系统架构、电磁执行、激光输出和供电保护等理论环节。这样的处理方式更符合研究生阶段的技术分析写法，即先由实物结构提出问题，再用公开资料和理论模型解释其工作机理。</w:t>
      </w:r>
    </w:p>
    <w:p>
      <w:pPr>
        <w:jc w:val="center"/>
      </w:pPr>
      <w:r>
        <w:drawing>
          <wp:inline xmlns:a="http://schemas.openxmlformats.org/drawingml/2006/main" xmlns:pic="http://schemas.openxmlformats.org/drawingml/2006/picture">
            <wp:extent cx="5328000" cy="2489595"/>
            <wp:docPr id="46" name="Picture 46"/>
            <wp:cNvGraphicFramePr>
              <a:graphicFrameLocks noChangeAspect="1"/>
            </wp:cNvGraphicFramePr>
            <a:graphic>
              <a:graphicData uri="http://schemas.openxmlformats.org/drawingml/2006/picture">
                <pic:pic>
                  <pic:nvPicPr>
                    <pic:cNvPr id="0" name="user_photo_map.png"/>
                    <pic:cNvPicPr/>
                  </pic:nvPicPr>
                  <pic:blipFill>
                    <a:blip r:embed="rId55"/>
                    <a:stretch>
                      <a:fillRect/>
                    </a:stretch>
                  </pic:blipFill>
                  <pic:spPr>
                    <a:xfrm>
                      <a:off x="0" y="0"/>
                      <a:ext cx="5328000" cy="2489595"/>
                    </a:xfrm>
                    <a:prstGeom prst="rect"/>
                  </pic:spPr>
                </pic:pic>
              </a:graphicData>
            </a:graphic>
          </wp:inline>
        </w:drawing>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宋体" w:hAnsi="宋体" w:eastAsia="宋体"/>
                <w:b w:val="0"/>
                <w:sz w:val="18"/>
              </w:rPr>
              <w:t>建议保留的实物图</w:t>
            </w:r>
          </w:p>
        </w:tc>
        <w:tc>
          <w:tcPr>
            <w:tcW w:type="dxa" w:w="3135"/>
          </w:tcPr>
          <w:p>
            <w:pPr>
              <w:jc w:val="center"/>
            </w:pPr>
            <w:r>
              <w:rPr>
                <w:rFonts w:ascii="宋体" w:hAnsi="宋体" w:eastAsia="宋体"/>
                <w:b w:val="0"/>
                <w:sz w:val="18"/>
              </w:rPr>
              <w:t>主要结构信息</w:t>
            </w:r>
          </w:p>
        </w:tc>
        <w:tc>
          <w:tcPr>
            <w:tcW w:type="dxa" w:w="3135"/>
          </w:tcPr>
          <w:p>
            <w:pPr>
              <w:jc w:val="center"/>
            </w:pPr>
            <w:r>
              <w:rPr>
                <w:rFonts w:ascii="宋体" w:hAnsi="宋体" w:eastAsia="宋体"/>
                <w:b w:val="0"/>
                <w:sz w:val="18"/>
              </w:rPr>
              <w:t>后续对应的理论内容</w:t>
            </w:r>
          </w:p>
        </w:tc>
      </w:tr>
      <w:tr>
        <w:tc>
          <w:tcPr>
            <w:tcW w:type="dxa" w:w="3135"/>
          </w:tcPr>
          <w:p>
            <w:pPr>
              <w:jc w:val="center"/>
            </w:pPr>
            <w:r>
              <w:rPr>
                <w:rFonts w:ascii="宋体" w:hAnsi="宋体" w:eastAsia="宋体"/>
                <w:b w:val="0"/>
                <w:sz w:val="18"/>
              </w:rPr>
              <w:t>整机与可拆卸电池仓</w:t>
            </w:r>
          </w:p>
        </w:tc>
        <w:tc>
          <w:tcPr>
            <w:tcW w:type="dxa" w:w="3135"/>
          </w:tcPr>
          <w:p>
            <w:pPr>
              <w:jc w:val="center"/>
            </w:pPr>
            <w:r>
              <w:rPr>
                <w:rFonts w:ascii="宋体" w:hAnsi="宋体" w:eastAsia="宋体"/>
                <w:b w:val="0"/>
                <w:sz w:val="18"/>
              </w:rPr>
              <w:t>总体布局、模块接口、电池仓插接关系</w:t>
            </w:r>
          </w:p>
        </w:tc>
        <w:tc>
          <w:tcPr>
            <w:tcW w:type="dxa" w:w="3135"/>
          </w:tcPr>
          <w:p>
            <w:pPr>
              <w:jc w:val="center"/>
            </w:pPr>
            <w:r>
              <w:rPr>
                <w:rFonts w:ascii="宋体" w:hAnsi="宋体" w:eastAsia="宋体"/>
                <w:b w:val="0"/>
                <w:sz w:val="18"/>
              </w:rPr>
              <w:t>系统工作链路、电源分配与控制架构</w:t>
            </w:r>
          </w:p>
        </w:tc>
      </w:tr>
      <w:tr>
        <w:tc>
          <w:tcPr>
            <w:tcW w:type="dxa" w:w="3135"/>
          </w:tcPr>
          <w:p>
            <w:pPr>
              <w:jc w:val="center"/>
            </w:pPr>
            <w:r>
              <w:rPr>
                <w:rFonts w:ascii="宋体" w:hAnsi="宋体" w:eastAsia="宋体"/>
                <w:b w:val="0"/>
                <w:sz w:val="18"/>
              </w:rPr>
              <w:t>侧部外壳与带提握开口框架</w:t>
            </w:r>
          </w:p>
        </w:tc>
        <w:tc>
          <w:tcPr>
            <w:tcW w:type="dxa" w:w="3135"/>
          </w:tcPr>
          <w:p>
            <w:pPr>
              <w:jc w:val="center"/>
            </w:pPr>
            <w:r>
              <w:rPr>
                <w:rFonts w:ascii="宋体" w:hAnsi="宋体" w:eastAsia="宋体"/>
                <w:b w:val="0"/>
                <w:sz w:val="18"/>
              </w:rPr>
              <w:t>加强筋、孔位、承载与保护关系</w:t>
            </w:r>
          </w:p>
        </w:tc>
        <w:tc>
          <w:tcPr>
            <w:tcW w:type="dxa" w:w="3135"/>
          </w:tcPr>
          <w:p>
            <w:pPr>
              <w:jc w:val="center"/>
            </w:pPr>
            <w:r>
              <w:rPr>
                <w:rFonts w:ascii="宋体" w:hAnsi="宋体" w:eastAsia="宋体"/>
                <w:b w:val="0"/>
                <w:sz w:val="18"/>
              </w:rPr>
              <w:t>结构刚度、定位和装配稳定性</w:t>
            </w:r>
          </w:p>
        </w:tc>
      </w:tr>
      <w:tr>
        <w:tc>
          <w:tcPr>
            <w:tcW w:type="dxa" w:w="3135"/>
          </w:tcPr>
          <w:p>
            <w:pPr>
              <w:jc w:val="center"/>
            </w:pPr>
            <w:r>
              <w:rPr>
                <w:rFonts w:ascii="宋体" w:hAnsi="宋体" w:eastAsia="宋体"/>
                <w:b w:val="0"/>
                <w:sz w:val="18"/>
              </w:rPr>
              <w:t>管状内部驱动与输出总成</w:t>
            </w:r>
          </w:p>
        </w:tc>
        <w:tc>
          <w:tcPr>
            <w:tcW w:type="dxa" w:w="3135"/>
          </w:tcPr>
          <w:p>
            <w:pPr>
              <w:jc w:val="center"/>
            </w:pPr>
            <w:r>
              <w:rPr>
                <w:rFonts w:ascii="宋体" w:hAnsi="宋体" w:eastAsia="宋体"/>
                <w:b w:val="0"/>
                <w:sz w:val="18"/>
              </w:rPr>
              <w:t>粗径包覆段、多芯线束、轴向管件</w:t>
            </w:r>
          </w:p>
        </w:tc>
        <w:tc>
          <w:tcPr>
            <w:tcW w:type="dxa" w:w="3135"/>
          </w:tcPr>
          <w:p>
            <w:pPr>
              <w:jc w:val="center"/>
            </w:pPr>
            <w:r>
              <w:rPr>
                <w:rFonts w:ascii="宋体" w:hAnsi="宋体" w:eastAsia="宋体"/>
                <w:b w:val="0"/>
                <w:sz w:val="18"/>
              </w:rPr>
              <w:t>圆筒型永磁直线执行、霍尔换相、光路集成</w:t>
            </w:r>
          </w:p>
        </w:tc>
      </w:tr>
      <w:tr>
        <w:tc>
          <w:tcPr>
            <w:tcW w:type="dxa" w:w="3135"/>
          </w:tcPr>
          <w:p>
            <w:pPr>
              <w:jc w:val="center"/>
            </w:pPr>
            <w:r>
              <w:rPr>
                <w:rFonts w:ascii="宋体" w:hAnsi="宋体" w:eastAsia="宋体"/>
                <w:b w:val="0"/>
                <w:sz w:val="18"/>
              </w:rPr>
              <w:t>前端金属管、套筒及定位结构</w:t>
            </w:r>
          </w:p>
        </w:tc>
        <w:tc>
          <w:tcPr>
            <w:tcW w:type="dxa" w:w="3135"/>
          </w:tcPr>
          <w:p>
            <w:pPr>
              <w:jc w:val="center"/>
            </w:pPr>
            <w:r>
              <w:rPr>
                <w:rFonts w:ascii="宋体" w:hAnsi="宋体" w:eastAsia="宋体"/>
                <w:b w:val="0"/>
                <w:sz w:val="18"/>
              </w:rPr>
              <w:t>台肩、螺纹、同轴定位</w:t>
            </w:r>
          </w:p>
        </w:tc>
        <w:tc>
          <w:tcPr>
            <w:tcW w:type="dxa" w:w="3135"/>
          </w:tcPr>
          <w:p>
            <w:pPr>
              <w:jc w:val="center"/>
            </w:pPr>
            <w:r>
              <w:rPr>
                <w:rFonts w:ascii="宋体" w:hAnsi="宋体" w:eastAsia="宋体"/>
                <w:b w:val="0"/>
                <w:sz w:val="18"/>
              </w:rPr>
              <w:t>光轴基准、指向误差与重复装配</w:t>
            </w:r>
          </w:p>
        </w:tc>
      </w:tr>
      <w:tr>
        <w:tc>
          <w:tcPr>
            <w:tcW w:type="dxa" w:w="3135"/>
          </w:tcPr>
          <w:p>
            <w:pPr>
              <w:jc w:val="center"/>
            </w:pPr>
            <w:r>
              <w:rPr>
                <w:rFonts w:ascii="宋体" w:hAnsi="宋体" w:eastAsia="宋体"/>
                <w:b w:val="0"/>
                <w:sz w:val="18"/>
              </w:rPr>
              <w:t>圆柱锂电池组、线束及保护板</w:t>
            </w:r>
          </w:p>
        </w:tc>
        <w:tc>
          <w:tcPr>
            <w:tcW w:type="dxa" w:w="3135"/>
          </w:tcPr>
          <w:p>
            <w:pPr>
              <w:jc w:val="center"/>
            </w:pPr>
            <w:r>
              <w:rPr>
                <w:rFonts w:ascii="宋体" w:hAnsi="宋体" w:eastAsia="宋体"/>
                <w:b w:val="0"/>
                <w:sz w:val="18"/>
              </w:rPr>
              <w:t>主电源、采样线、电芯组与BMS</w:t>
            </w:r>
          </w:p>
        </w:tc>
        <w:tc>
          <w:tcPr>
            <w:tcW w:type="dxa" w:w="3135"/>
          </w:tcPr>
          <w:p>
            <w:pPr>
              <w:jc w:val="center"/>
            </w:pPr>
            <w:r>
              <w:rPr>
                <w:rFonts w:ascii="宋体" w:hAnsi="宋体" w:eastAsia="宋体"/>
                <w:b w:val="0"/>
                <w:sz w:val="18"/>
              </w:rPr>
              <w:t>瞬态功率、铜耗、保护阈值与供电稳定性</w:t>
            </w:r>
          </w:p>
        </w:tc>
      </w:tr>
    </w:tbl>
    <w:p>
      <w:pPr>
        <w:spacing w:after="100"/>
        <w:jc w:val="center"/>
      </w:pPr>
      <w:r>
        <w:rPr>
          <w:rFonts w:ascii="宋体" w:hAnsi="宋体" w:eastAsia="宋体"/>
          <w:b w:val="0"/>
          <w:sz w:val="19"/>
        </w:rPr>
        <w:t>表4  本轮实物图片的选取依据及理论对应关系</w:t>
      </w:r>
    </w:p>
    <w:p>
      <w:pPr>
        <w:pStyle w:val="Heading2"/>
        <w:spacing w:before="160" w:after="80"/>
      </w:pPr>
      <w:r>
        <w:t>7.1 整机、电池仓与系统接口</w:t>
      </w:r>
    </w:p>
    <w:p>
      <w:pPr>
        <w:spacing w:line="360" w:lineRule="auto" w:after="80"/>
        <w:ind w:firstLine="420"/>
        <w:jc w:val="both"/>
      </w:pPr>
      <w:r>
        <w:rPr>
          <w:rFonts w:ascii="宋体" w:hAnsi="宋体" w:eastAsia="宋体"/>
          <w:b w:val="0"/>
          <w:sz w:val="21"/>
        </w:rPr>
        <w:t>如图可见，整机采用主体与弹匣形电池仓可拆卸的布局。电池仓上方设置电源插接件，使供电模块在完成机械安装的同时建立电气连接。公开专利CN215114188U同样采用“外壳机构—激光发射机构—仿真震动机构—电池弹夹机构—控制机构”的分层结构，并明确电池仓内布置锂电池和电池保护板。该公开结构与本实物的总体布局具有较强的对应性，但本文仍不据此认定具体型号完全相同。</w:t>
      </w:r>
    </w:p>
    <w:p>
      <w:pPr>
        <w:jc w:val="center"/>
      </w:pPr>
      <w:r>
        <w:drawing>
          <wp:inline xmlns:a="http://schemas.openxmlformats.org/drawingml/2006/main" xmlns:pic="http://schemas.openxmlformats.org/drawingml/2006/picture">
            <wp:extent cx="4968000" cy="6852414"/>
            <wp:docPr id="47" name="Picture 47"/>
            <wp:cNvGraphicFramePr>
              <a:graphicFrameLocks noChangeAspect="1"/>
            </wp:cNvGraphicFramePr>
            <a:graphic>
              <a:graphicData uri="http://schemas.openxmlformats.org/drawingml/2006/picture">
                <pic:pic>
                  <pic:nvPicPr>
                    <pic:cNvPr id="0" name="patent_fig4.png"/>
                    <pic:cNvPicPr/>
                  </pic:nvPicPr>
                  <pic:blipFill>
                    <a:blip r:embed="rId56"/>
                    <a:stretch>
                      <a:fillRect/>
                    </a:stretch>
                  </pic:blipFill>
                  <pic:spPr>
                    <a:xfrm>
                      <a:off x="0" y="0"/>
                      <a:ext cx="4968000" cy="6852414"/>
                    </a:xfrm>
                    <a:prstGeom prst="rect"/>
                  </pic:spPr>
                </pic:pic>
              </a:graphicData>
            </a:graphic>
          </wp:inline>
        </w:drawing>
      </w:r>
    </w:p>
    <w:p>
      <w:pPr>
        <w:spacing w:after="100"/>
        <w:jc w:val="center"/>
      </w:pPr>
      <w:r>
        <w:rPr>
          <w:rFonts w:ascii="宋体" w:hAnsi="宋体" w:eastAsia="宋体"/>
          <w:b w:val="0"/>
          <w:sz w:val="19"/>
        </w:rPr>
        <w:t>图12  CN215114188U公开专利的整机立体结构图（来源：Google Patents）</w:t>
      </w:r>
    </w:p>
    <w:p>
      <w:pPr>
        <w:jc w:val="center"/>
      </w:pPr>
      <w:r>
        <w:drawing>
          <wp:inline xmlns:a="http://schemas.openxmlformats.org/drawingml/2006/main" xmlns:pic="http://schemas.openxmlformats.org/drawingml/2006/picture">
            <wp:extent cx="4968000" cy="7097143"/>
            <wp:docPr id="48" name="Picture 48"/>
            <wp:cNvGraphicFramePr>
              <a:graphicFrameLocks noChangeAspect="1"/>
            </wp:cNvGraphicFramePr>
            <a:graphic>
              <a:graphicData uri="http://schemas.openxmlformats.org/drawingml/2006/picture">
                <pic:pic>
                  <pic:nvPicPr>
                    <pic:cNvPr id="0" name="patent_fig5.png"/>
                    <pic:cNvPicPr/>
                  </pic:nvPicPr>
                  <pic:blipFill>
                    <a:blip r:embed="rId57"/>
                    <a:stretch>
                      <a:fillRect/>
                    </a:stretch>
                  </pic:blipFill>
                  <pic:spPr>
                    <a:xfrm>
                      <a:off x="0" y="0"/>
                      <a:ext cx="4968000" cy="7097143"/>
                    </a:xfrm>
                    <a:prstGeom prst="rect"/>
                  </pic:spPr>
                </pic:pic>
              </a:graphicData>
            </a:graphic>
          </wp:inline>
        </w:drawing>
      </w:r>
    </w:p>
    <w:p>
      <w:pPr>
        <w:spacing w:after="100"/>
        <w:jc w:val="center"/>
      </w:pPr>
      <w:r>
        <w:rPr>
          <w:rFonts w:ascii="宋体" w:hAnsi="宋体" w:eastAsia="宋体"/>
          <w:b w:val="0"/>
          <w:sz w:val="19"/>
        </w:rPr>
        <w:t>图13  CN215114188U公开专利的主要部件分解图（来源：Google Patents）</w:t>
      </w:r>
    </w:p>
    <w:p>
      <w:pPr>
        <w:pStyle w:val="Heading2"/>
        <w:spacing w:before="160" w:after="80"/>
      </w:pPr>
      <w:r>
        <w:t>7.2 管状总成与圆筒型永磁直线执行原理</w:t>
      </w:r>
    </w:p>
    <w:p>
      <w:pPr>
        <w:spacing w:line="360" w:lineRule="auto" w:after="80"/>
        <w:ind w:firstLine="420"/>
        <w:jc w:val="both"/>
      </w:pPr>
      <w:r>
        <w:rPr>
          <w:rFonts w:ascii="宋体" w:hAnsi="宋体" w:eastAsia="宋体"/>
          <w:b w:val="0"/>
          <w:sz w:val="21"/>
        </w:rPr>
        <w:t>管状内部驱动与输出总成是本轮图片中最有分析价值的部件。如图可见，该部件由较长的轴向管体、粗径包覆段以及多芯线束组成。结合公开专利结构，较合理的解释不是传统单线圈吸合式电磁铁，而是由线圈管、线圈模组、磁铁管、永磁体模组、霍尔位置传感器和回复弹簧构成的圆筒型永磁直线执行机构。专利中定子线圈采用U、V、W三相分组，霍尔传感器根据磁铁模组的轴向位置触发相序切换，从而形成沿轴向推进的电磁力。</w:t>
      </w:r>
    </w:p>
    <w:p>
      <w:pPr>
        <w:jc w:val="center"/>
      </w:pPr>
      <w:r>
        <w:drawing>
          <wp:inline xmlns:a="http://schemas.openxmlformats.org/drawingml/2006/main" xmlns:pic="http://schemas.openxmlformats.org/drawingml/2006/picture">
            <wp:extent cx="5328000" cy="2379026"/>
            <wp:docPr id="49" name="Picture 49"/>
            <wp:cNvGraphicFramePr>
              <a:graphicFrameLocks noChangeAspect="1"/>
            </wp:cNvGraphicFramePr>
            <a:graphic>
              <a:graphicData uri="http://schemas.openxmlformats.org/drawingml/2006/picture">
                <pic:pic>
                  <pic:nvPicPr>
                    <pic:cNvPr id="0" name="tubular_pm_principle.png"/>
                    <pic:cNvPicPr/>
                  </pic:nvPicPr>
                  <pic:blipFill>
                    <a:blip r:embed="rId58"/>
                    <a:stretch>
                      <a:fillRect/>
                    </a:stretch>
                  </pic:blipFill>
                  <pic:spPr>
                    <a:xfrm>
                      <a:off x="0" y="0"/>
                      <a:ext cx="5328000" cy="2379026"/>
                    </a:xfrm>
                    <a:prstGeom prst="rect"/>
                  </pic:spPr>
                </pic:pic>
              </a:graphicData>
            </a:graphic>
          </wp:inline>
        </w:drawing>
      </w:r>
    </w:p>
    <w:p>
      <w:pPr>
        <w:jc w:val="center"/>
      </w:pPr>
      <w:r>
        <w:drawing>
          <wp:inline xmlns:a="http://schemas.openxmlformats.org/drawingml/2006/main" xmlns:pic="http://schemas.openxmlformats.org/drawingml/2006/picture">
            <wp:extent cx="4860000" cy="12960000"/>
            <wp:docPr id="50" name="Picture 50"/>
            <wp:cNvGraphicFramePr>
              <a:graphicFrameLocks noChangeAspect="1"/>
            </wp:cNvGraphicFramePr>
            <a:graphic>
              <a:graphicData uri="http://schemas.openxmlformats.org/drawingml/2006/picture">
                <pic:pic>
                  <pic:nvPicPr>
                    <pic:cNvPr id="0" name="patent_fig10.png"/>
                    <pic:cNvPicPr/>
                  </pic:nvPicPr>
                  <pic:blipFill>
                    <a:blip r:embed="rId59"/>
                    <a:stretch>
                      <a:fillRect/>
                    </a:stretch>
                  </pic:blipFill>
                  <pic:spPr>
                    <a:xfrm>
                      <a:off x="0" y="0"/>
                      <a:ext cx="4860000" cy="12960000"/>
                    </a:xfrm>
                    <a:prstGeom prst="rect"/>
                  </pic:spPr>
                </pic:pic>
              </a:graphicData>
            </a:graphic>
          </wp:inline>
        </w:drawing>
      </w:r>
    </w:p>
    <w:p>
      <w:pPr>
        <w:spacing w:after="100"/>
        <w:jc w:val="center"/>
      </w:pPr>
      <w:r>
        <w:rPr>
          <w:rFonts w:ascii="宋体" w:hAnsi="宋体" w:eastAsia="宋体"/>
          <w:b w:val="0"/>
          <w:sz w:val="19"/>
        </w:rPr>
        <w:t>图15  CN215114188U线圈模组与磁铁模组结构图（来源：Google Patents）</w:t>
      </w:r>
    </w:p>
    <w:p>
      <w:pPr>
        <w:spacing w:line="360" w:lineRule="auto" w:after="80"/>
        <w:ind w:firstLine="420"/>
        <w:jc w:val="both"/>
      </w:pPr>
      <w:r>
        <w:rPr>
          <w:rFonts w:ascii="宋体" w:hAnsi="宋体" w:eastAsia="宋体"/>
          <w:b w:val="0"/>
          <w:sz w:val="21"/>
        </w:rPr>
        <w:t>对任一相绕组k（k=U、V、W），其端电压可写成电阻压降、电感电压和运动反电动势之和：</w:t>
      </w:r>
    </w:p>
    <w:p>
      <w:pPr>
        <w:spacing w:before="40" w:after="60"/>
        <w:jc w:val="center"/>
      </w:pPr>
      <w:r>
        <w:drawing>
          <wp:inline xmlns:a="http://schemas.openxmlformats.org/drawingml/2006/main" xmlns:pic="http://schemas.openxmlformats.org/drawingml/2006/picture">
            <wp:extent cx="5616000" cy="378911"/>
            <wp:docPr id="51" name="Picture 51"/>
            <wp:cNvGraphicFramePr>
              <a:graphicFrameLocks noChangeAspect="1"/>
            </wp:cNvGraphicFramePr>
            <a:graphic>
              <a:graphicData uri="http://schemas.openxmlformats.org/drawingml/2006/picture">
                <pic:pic>
                  <pic:nvPicPr>
                    <pic:cNvPr id="0" name="eq_extra_37.png"/>
                    <pic:cNvPicPr/>
                  </pic:nvPicPr>
                  <pic:blipFill>
                    <a:blip r:embed="rId60"/>
                    <a:stretch>
                      <a:fillRect/>
                    </a:stretch>
                  </pic:blipFill>
                  <pic:spPr>
                    <a:xfrm>
                      <a:off x="0" y="0"/>
                      <a:ext cx="5616000" cy="378911"/>
                    </a:xfrm>
                    <a:prstGeom prst="rect"/>
                  </pic:spPr>
                </pic:pic>
              </a:graphicData>
            </a:graphic>
          </wp:inline>
        </w:drawing>
      </w:r>
    </w:p>
    <w:p>
      <w:pPr>
        <w:spacing w:line="360" w:lineRule="auto" w:after="80"/>
        <w:ind w:firstLine="420"/>
        <w:jc w:val="both"/>
      </w:pPr>
      <w:r>
        <w:rPr>
          <w:rFonts w:ascii="宋体" w:hAnsi="宋体" w:eastAsia="宋体"/>
          <w:b w:val="0"/>
          <w:sz w:val="21"/>
        </w:rPr>
        <w:t>当磁铁模组沿轴向运动时，绕组磁链随位置x变化，因此反电动势可以写为：</w:t>
      </w:r>
    </w:p>
    <w:p>
      <w:pPr>
        <w:spacing w:before="40" w:after="60"/>
        <w:jc w:val="center"/>
      </w:pPr>
      <w:r>
        <w:drawing>
          <wp:inline xmlns:a="http://schemas.openxmlformats.org/drawingml/2006/main" xmlns:pic="http://schemas.openxmlformats.org/drawingml/2006/picture">
            <wp:extent cx="5616000" cy="403152"/>
            <wp:docPr id="52" name="Picture 52"/>
            <wp:cNvGraphicFramePr>
              <a:graphicFrameLocks noChangeAspect="1"/>
            </wp:cNvGraphicFramePr>
            <a:graphic>
              <a:graphicData uri="http://schemas.openxmlformats.org/drawingml/2006/picture">
                <pic:pic>
                  <pic:nvPicPr>
                    <pic:cNvPr id="0" name="eq_extra_38.png"/>
                    <pic:cNvPicPr/>
                  </pic:nvPicPr>
                  <pic:blipFill>
                    <a:blip r:embed="rId61"/>
                    <a:stretch>
                      <a:fillRect/>
                    </a:stretch>
                  </pic:blipFill>
                  <pic:spPr>
                    <a:xfrm>
                      <a:off x="0" y="0"/>
                      <a:ext cx="5616000" cy="403152"/>
                    </a:xfrm>
                    <a:prstGeom prst="rect"/>
                  </pic:spPr>
                </pic:pic>
              </a:graphicData>
            </a:graphic>
          </wp:inline>
        </w:drawing>
      </w:r>
    </w:p>
    <w:p>
      <w:pPr>
        <w:spacing w:line="360" w:lineRule="auto" w:after="80"/>
        <w:ind w:firstLine="420"/>
        <w:jc w:val="both"/>
      </w:pPr>
      <w:r>
        <w:rPr>
          <w:rFonts w:ascii="宋体" w:hAnsi="宋体" w:eastAsia="宋体"/>
          <w:b w:val="0"/>
          <w:sz w:val="21"/>
        </w:rPr>
        <w:t>三相电磁转换功率可用各相反电动势与相电流乘积之和表示：</w:t>
      </w:r>
    </w:p>
    <w:p>
      <w:pPr>
        <w:spacing w:before="40" w:after="60"/>
        <w:jc w:val="center"/>
      </w:pPr>
      <w:r>
        <w:drawing>
          <wp:inline xmlns:a="http://schemas.openxmlformats.org/drawingml/2006/main" xmlns:pic="http://schemas.openxmlformats.org/drawingml/2006/picture">
            <wp:extent cx="5616000" cy="277333"/>
            <wp:docPr id="53" name="Picture 53"/>
            <wp:cNvGraphicFramePr>
              <a:graphicFrameLocks noChangeAspect="1"/>
            </wp:cNvGraphicFramePr>
            <a:graphic>
              <a:graphicData uri="http://schemas.openxmlformats.org/drawingml/2006/picture">
                <pic:pic>
                  <pic:nvPicPr>
                    <pic:cNvPr id="0" name="eq_extra_39.png"/>
                    <pic:cNvPicPr/>
                  </pic:nvPicPr>
                  <pic:blipFill>
                    <a:blip r:embed="rId62"/>
                    <a:stretch>
                      <a:fillRect/>
                    </a:stretch>
                  </pic:blipFill>
                  <pic:spPr>
                    <a:xfrm>
                      <a:off x="0" y="0"/>
                      <a:ext cx="5616000" cy="277333"/>
                    </a:xfrm>
                    <a:prstGeom prst="rect"/>
                  </pic:spPr>
                </pic:pic>
              </a:graphicData>
            </a:graphic>
          </wp:inline>
        </w:drawing>
      </w:r>
    </w:p>
    <w:p>
      <w:pPr>
        <w:spacing w:line="360" w:lineRule="auto" w:after="80"/>
        <w:ind w:firstLine="420"/>
        <w:jc w:val="both"/>
      </w:pPr>
      <w:r>
        <w:rPr>
          <w:rFonts w:ascii="宋体" w:hAnsi="宋体" w:eastAsia="宋体"/>
          <w:b w:val="0"/>
          <w:sz w:val="21"/>
        </w:rPr>
        <w:t>在忽略机械损耗并且运动速度不为零时，可用功率与速度关系得到轴向电磁推力的等效表达：</w:t>
      </w:r>
    </w:p>
    <w:p>
      <w:pPr>
        <w:spacing w:before="40" w:after="60"/>
        <w:jc w:val="center"/>
      </w:pPr>
      <w:r>
        <w:drawing>
          <wp:inline xmlns:a="http://schemas.openxmlformats.org/drawingml/2006/main" xmlns:pic="http://schemas.openxmlformats.org/drawingml/2006/picture">
            <wp:extent cx="5616000" cy="388878"/>
            <wp:docPr id="54" name="Picture 54"/>
            <wp:cNvGraphicFramePr>
              <a:graphicFrameLocks noChangeAspect="1"/>
            </wp:cNvGraphicFramePr>
            <a:graphic>
              <a:graphicData uri="http://schemas.openxmlformats.org/drawingml/2006/picture">
                <pic:pic>
                  <pic:nvPicPr>
                    <pic:cNvPr id="0" name="eq_extra_40.png"/>
                    <pic:cNvPicPr/>
                  </pic:nvPicPr>
                  <pic:blipFill>
                    <a:blip r:embed="rId63"/>
                    <a:stretch>
                      <a:fillRect/>
                    </a:stretch>
                  </pic:blipFill>
                  <pic:spPr>
                    <a:xfrm>
                      <a:off x="0" y="0"/>
                      <a:ext cx="5616000" cy="388878"/>
                    </a:xfrm>
                    <a:prstGeom prst="rect"/>
                  </pic:spPr>
                </pic:pic>
              </a:graphicData>
            </a:graphic>
          </wp:inline>
        </w:drawing>
      </w:r>
    </w:p>
    <w:p>
      <w:pPr>
        <w:spacing w:line="360" w:lineRule="auto" w:after="80"/>
        <w:ind w:firstLine="420"/>
        <w:jc w:val="both"/>
      </w:pPr>
      <w:r>
        <w:rPr>
          <w:rFonts w:ascii="宋体" w:hAnsi="宋体" w:eastAsia="宋体"/>
          <w:b w:val="0"/>
          <w:sz w:val="21"/>
        </w:rPr>
        <w:t>更一般的表达仍可从磁共能出发：</w:t>
      </w:r>
    </w:p>
    <w:p>
      <w:pPr>
        <w:spacing w:before="40" w:after="60"/>
        <w:jc w:val="center"/>
      </w:pPr>
      <w:r>
        <w:drawing>
          <wp:inline xmlns:a="http://schemas.openxmlformats.org/drawingml/2006/main" xmlns:pic="http://schemas.openxmlformats.org/drawingml/2006/picture">
            <wp:extent cx="5616000" cy="381039"/>
            <wp:docPr id="55" name="Picture 55"/>
            <wp:cNvGraphicFramePr>
              <a:graphicFrameLocks noChangeAspect="1"/>
            </wp:cNvGraphicFramePr>
            <a:graphic>
              <a:graphicData uri="http://schemas.openxmlformats.org/drawingml/2006/picture">
                <pic:pic>
                  <pic:nvPicPr>
                    <pic:cNvPr id="0" name="eq_extra_41.png"/>
                    <pic:cNvPicPr/>
                  </pic:nvPicPr>
                  <pic:blipFill>
                    <a:blip r:embed="rId64"/>
                    <a:stretch>
                      <a:fillRect/>
                    </a:stretch>
                  </pic:blipFill>
                  <pic:spPr>
                    <a:xfrm>
                      <a:off x="0" y="0"/>
                      <a:ext cx="5616000" cy="381039"/>
                    </a:xfrm>
                    <a:prstGeom prst="rect"/>
                  </pic:spPr>
                </pic:pic>
              </a:graphicData>
            </a:graphic>
          </wp:inline>
        </w:drawing>
      </w:r>
    </w:p>
    <w:p>
      <w:pPr>
        <w:spacing w:line="360" w:lineRule="auto" w:after="80"/>
        <w:ind w:firstLine="420"/>
        <w:jc w:val="both"/>
      </w:pPr>
      <w:r>
        <w:rPr>
          <w:rFonts w:ascii="宋体" w:hAnsi="宋体" w:eastAsia="宋体"/>
          <w:b w:val="0"/>
          <w:sz w:val="21"/>
        </w:rPr>
        <w:t>磁铁模组的轴向运动还受到回复弹簧、阻尼、摩擦和撞击限位的共同影响，可写成：</w:t>
      </w:r>
    </w:p>
    <w:p>
      <w:pPr>
        <w:spacing w:before="40" w:after="60"/>
        <w:jc w:val="center"/>
      </w:pPr>
      <w:r>
        <w:drawing>
          <wp:inline xmlns:a="http://schemas.openxmlformats.org/drawingml/2006/main" xmlns:pic="http://schemas.openxmlformats.org/drawingml/2006/picture">
            <wp:extent cx="5616000" cy="276650"/>
            <wp:docPr id="56" name="Picture 56"/>
            <wp:cNvGraphicFramePr>
              <a:graphicFrameLocks noChangeAspect="1"/>
            </wp:cNvGraphicFramePr>
            <a:graphic>
              <a:graphicData uri="http://schemas.openxmlformats.org/drawingml/2006/picture">
                <pic:pic>
                  <pic:nvPicPr>
                    <pic:cNvPr id="0" name="eq_extra_42.png"/>
                    <pic:cNvPicPr/>
                  </pic:nvPicPr>
                  <pic:blipFill>
                    <a:blip r:embed="rId65"/>
                    <a:stretch>
                      <a:fillRect/>
                    </a:stretch>
                  </pic:blipFill>
                  <pic:spPr>
                    <a:xfrm>
                      <a:off x="0" y="0"/>
                      <a:ext cx="5616000" cy="276650"/>
                    </a:xfrm>
                    <a:prstGeom prst="rect"/>
                  </pic:spPr>
                </pic:pic>
              </a:graphicData>
            </a:graphic>
          </wp:inline>
        </w:drawing>
      </w:r>
    </w:p>
    <w:p>
      <w:pPr>
        <w:spacing w:line="360" w:lineRule="auto" w:after="80"/>
        <w:ind w:firstLine="420"/>
        <w:jc w:val="both"/>
      </w:pPr>
      <w:r>
        <w:rPr>
          <w:rFonts w:ascii="宋体" w:hAnsi="宋体" w:eastAsia="宋体"/>
          <w:b w:val="0"/>
          <w:sz w:val="21"/>
        </w:rPr>
        <w:t>回复弹簧在压缩或拉伸过程中储存的弹性势能为：</w:t>
      </w:r>
    </w:p>
    <w:p>
      <w:pPr>
        <w:spacing w:before="40" w:after="60"/>
        <w:jc w:val="center"/>
      </w:pPr>
      <w:r>
        <w:drawing>
          <wp:inline xmlns:a="http://schemas.openxmlformats.org/drawingml/2006/main" xmlns:pic="http://schemas.openxmlformats.org/drawingml/2006/picture">
            <wp:extent cx="5616000" cy="376281"/>
            <wp:docPr id="57" name="Picture 57"/>
            <wp:cNvGraphicFramePr>
              <a:graphicFrameLocks noChangeAspect="1"/>
            </wp:cNvGraphicFramePr>
            <a:graphic>
              <a:graphicData uri="http://schemas.openxmlformats.org/drawingml/2006/picture">
                <pic:pic>
                  <pic:nvPicPr>
                    <pic:cNvPr id="0" name="eq_extra_43.png"/>
                    <pic:cNvPicPr/>
                  </pic:nvPicPr>
                  <pic:blipFill>
                    <a:blip r:embed="rId66"/>
                    <a:stretch>
                      <a:fillRect/>
                    </a:stretch>
                  </pic:blipFill>
                  <pic:spPr>
                    <a:xfrm>
                      <a:off x="0" y="0"/>
                      <a:ext cx="5616000" cy="376281"/>
                    </a:xfrm>
                    <a:prstGeom prst="rect"/>
                  </pic:spPr>
                </pic:pic>
              </a:graphicData>
            </a:graphic>
          </wp:inline>
        </w:drawing>
      </w:r>
    </w:p>
    <w:p>
      <w:pPr>
        <w:spacing w:line="360" w:lineRule="auto" w:after="80"/>
        <w:ind w:firstLine="420"/>
        <w:jc w:val="both"/>
      </w:pPr>
      <w:r>
        <w:rPr>
          <w:rFonts w:ascii="宋体" w:hAnsi="宋体" w:eastAsia="宋体"/>
          <w:b w:val="0"/>
          <w:sz w:val="21"/>
        </w:rPr>
        <w:t>磁铁模组撞击后挡部之前的平动动能可表示为：</w:t>
      </w:r>
    </w:p>
    <w:p>
      <w:pPr>
        <w:spacing w:before="40" w:after="60"/>
        <w:jc w:val="center"/>
      </w:pPr>
      <w:r>
        <w:drawing>
          <wp:inline xmlns:a="http://schemas.openxmlformats.org/drawingml/2006/main" xmlns:pic="http://schemas.openxmlformats.org/drawingml/2006/picture">
            <wp:extent cx="5616000" cy="397945"/>
            <wp:docPr id="58" name="Picture 58"/>
            <wp:cNvGraphicFramePr>
              <a:graphicFrameLocks noChangeAspect="1"/>
            </wp:cNvGraphicFramePr>
            <a:graphic>
              <a:graphicData uri="http://schemas.openxmlformats.org/drawingml/2006/picture">
                <pic:pic>
                  <pic:nvPicPr>
                    <pic:cNvPr id="0" name="eq_extra_44.png"/>
                    <pic:cNvPicPr/>
                  </pic:nvPicPr>
                  <pic:blipFill>
                    <a:blip r:embed="rId67"/>
                    <a:stretch>
                      <a:fillRect/>
                    </a:stretch>
                  </pic:blipFill>
                  <pic:spPr>
                    <a:xfrm>
                      <a:off x="0" y="0"/>
                      <a:ext cx="5616000" cy="397945"/>
                    </a:xfrm>
                    <a:prstGeom prst="rect"/>
                  </pic:spPr>
                </pic:pic>
              </a:graphicData>
            </a:graphic>
          </wp:inline>
        </w:drawing>
      </w:r>
    </w:p>
    <w:p>
      <w:pPr>
        <w:spacing w:line="360" w:lineRule="auto" w:after="80"/>
        <w:ind w:firstLine="420"/>
        <w:jc w:val="both"/>
      </w:pPr>
      <w:r>
        <w:rPr>
          <w:rFonts w:ascii="宋体" w:hAnsi="宋体" w:eastAsia="宋体"/>
          <w:b w:val="0"/>
          <w:sz w:val="21"/>
        </w:rPr>
        <w:t>撞击阶段更适合采用冲量描述，若碰撞时间较短，则：</w:t>
      </w:r>
    </w:p>
    <w:p>
      <w:pPr>
        <w:spacing w:before="40" w:after="60"/>
        <w:jc w:val="center"/>
      </w:pPr>
      <w:r>
        <w:drawing>
          <wp:inline xmlns:a="http://schemas.openxmlformats.org/drawingml/2006/main" xmlns:pic="http://schemas.openxmlformats.org/drawingml/2006/picture">
            <wp:extent cx="5616000" cy="471828"/>
            <wp:docPr id="59" name="Picture 59"/>
            <wp:cNvGraphicFramePr>
              <a:graphicFrameLocks noChangeAspect="1"/>
            </wp:cNvGraphicFramePr>
            <a:graphic>
              <a:graphicData uri="http://schemas.openxmlformats.org/drawingml/2006/picture">
                <pic:pic>
                  <pic:nvPicPr>
                    <pic:cNvPr id="0" name="eq_extra_45.png"/>
                    <pic:cNvPicPr/>
                  </pic:nvPicPr>
                  <pic:blipFill>
                    <a:blip r:embed="rId68"/>
                    <a:stretch>
                      <a:fillRect/>
                    </a:stretch>
                  </pic:blipFill>
                  <pic:spPr>
                    <a:xfrm>
                      <a:off x="0" y="0"/>
                      <a:ext cx="5616000" cy="471828"/>
                    </a:xfrm>
                    <a:prstGeom prst="rect"/>
                  </pic:spPr>
                </pic:pic>
              </a:graphicData>
            </a:graphic>
          </wp:inline>
        </w:drawing>
      </w:r>
    </w:p>
    <w:p>
      <w:pPr>
        <w:spacing w:line="360" w:lineRule="auto" w:after="80"/>
        <w:ind w:firstLine="420"/>
        <w:jc w:val="both"/>
      </w:pPr>
      <w:r>
        <w:rPr>
          <w:rFonts w:ascii="宋体" w:hAnsi="宋体" w:eastAsia="宋体"/>
          <w:b w:val="0"/>
          <w:sz w:val="21"/>
        </w:rPr>
        <w:t>三相线圈的铜耗可按有效值近似为：</w:t>
      </w:r>
    </w:p>
    <w:p>
      <w:pPr>
        <w:spacing w:before="40" w:after="60"/>
        <w:jc w:val="center"/>
      </w:pPr>
      <w:r>
        <w:drawing>
          <wp:inline xmlns:a="http://schemas.openxmlformats.org/drawingml/2006/main" xmlns:pic="http://schemas.openxmlformats.org/drawingml/2006/picture">
            <wp:extent cx="5616000" cy="338019"/>
            <wp:docPr id="60" name="Picture 60"/>
            <wp:cNvGraphicFramePr>
              <a:graphicFrameLocks noChangeAspect="1"/>
            </wp:cNvGraphicFramePr>
            <a:graphic>
              <a:graphicData uri="http://schemas.openxmlformats.org/drawingml/2006/picture">
                <pic:pic>
                  <pic:nvPicPr>
                    <pic:cNvPr id="0" name="eq_extra_46.png"/>
                    <pic:cNvPicPr/>
                  </pic:nvPicPr>
                  <pic:blipFill>
                    <a:blip r:embed="rId69"/>
                    <a:stretch>
                      <a:fillRect/>
                    </a:stretch>
                  </pic:blipFill>
                  <pic:spPr>
                    <a:xfrm>
                      <a:off x="0" y="0"/>
                      <a:ext cx="5616000" cy="338019"/>
                    </a:xfrm>
                    <a:prstGeom prst="rect"/>
                  </pic:spPr>
                </pic:pic>
              </a:graphicData>
            </a:graphic>
          </wp:inline>
        </w:drawing>
      </w:r>
    </w:p>
    <w:p>
      <w:pPr>
        <w:spacing w:line="360" w:lineRule="auto" w:after="80"/>
        <w:ind w:firstLine="420"/>
        <w:jc w:val="both"/>
      </w:pPr>
      <w:r>
        <w:rPr>
          <w:rFonts w:ascii="宋体" w:hAnsi="宋体" w:eastAsia="宋体"/>
          <w:b w:val="0"/>
          <w:sz w:val="21"/>
        </w:rPr>
        <w:t>若以一个动作周期的机械输出能量与电输入能量之比评价执行效率，可定义：</w:t>
      </w:r>
    </w:p>
    <w:p>
      <w:pPr>
        <w:spacing w:before="40" w:after="60"/>
        <w:jc w:val="center"/>
      </w:pPr>
      <w:r>
        <w:drawing>
          <wp:inline xmlns:a="http://schemas.openxmlformats.org/drawingml/2006/main" xmlns:pic="http://schemas.openxmlformats.org/drawingml/2006/picture">
            <wp:extent cx="5616000" cy="576828"/>
            <wp:docPr id="61" name="Picture 61"/>
            <wp:cNvGraphicFramePr>
              <a:graphicFrameLocks noChangeAspect="1"/>
            </wp:cNvGraphicFramePr>
            <a:graphic>
              <a:graphicData uri="http://schemas.openxmlformats.org/drawingml/2006/picture">
                <pic:pic>
                  <pic:nvPicPr>
                    <pic:cNvPr id="0" name="eq_extra_47.png"/>
                    <pic:cNvPicPr/>
                  </pic:nvPicPr>
                  <pic:blipFill>
                    <a:blip r:embed="rId70"/>
                    <a:stretch>
                      <a:fillRect/>
                    </a:stretch>
                  </pic:blipFill>
                  <pic:spPr>
                    <a:xfrm>
                      <a:off x="0" y="0"/>
                      <a:ext cx="5616000" cy="576828"/>
                    </a:xfrm>
                    <a:prstGeom prst="rect"/>
                  </pic:spPr>
                </pic:pic>
              </a:graphicData>
            </a:graphic>
          </wp:inline>
        </w:drawing>
      </w:r>
    </w:p>
    <w:p>
      <w:pPr>
        <w:spacing w:line="360" w:lineRule="auto" w:after="80"/>
        <w:ind w:firstLine="420"/>
        <w:jc w:val="both"/>
      </w:pPr>
      <w:r>
        <w:rPr>
          <w:rFonts w:ascii="宋体" w:hAnsi="宋体" w:eastAsia="宋体"/>
          <w:b w:val="0"/>
          <w:sz w:val="21"/>
        </w:rPr>
        <w:t>公开专利给出的示例中，磁铁模组每经过一个线圈槽距进行一次相序切换。因此，若总行程为s、等效换相节距为τ_s，则换相次数可作近似估计：</w:t>
      </w:r>
    </w:p>
    <w:p>
      <w:pPr>
        <w:spacing w:before="40" w:after="60"/>
        <w:jc w:val="center"/>
      </w:pPr>
      <w:r>
        <w:drawing>
          <wp:inline xmlns:a="http://schemas.openxmlformats.org/drawingml/2006/main" xmlns:pic="http://schemas.openxmlformats.org/drawingml/2006/picture">
            <wp:extent cx="5616000" cy="362817"/>
            <wp:docPr id="62" name="Picture 62"/>
            <wp:cNvGraphicFramePr>
              <a:graphicFrameLocks noChangeAspect="1"/>
            </wp:cNvGraphicFramePr>
            <a:graphic>
              <a:graphicData uri="http://schemas.openxmlformats.org/drawingml/2006/picture">
                <pic:pic>
                  <pic:nvPicPr>
                    <pic:cNvPr id="0" name="eq_extra_48.png"/>
                    <pic:cNvPicPr/>
                  </pic:nvPicPr>
                  <pic:blipFill>
                    <a:blip r:embed="rId71"/>
                    <a:stretch>
                      <a:fillRect/>
                    </a:stretch>
                  </pic:blipFill>
                  <pic:spPr>
                    <a:xfrm>
                      <a:off x="0" y="0"/>
                      <a:ext cx="5616000" cy="362817"/>
                    </a:xfrm>
                    <a:prstGeom prst="rect"/>
                  </pic:spPr>
                </pic:pic>
              </a:graphicData>
            </a:graphic>
          </wp:inline>
        </w:drawing>
      </w:r>
    </w:p>
    <w:p>
      <w:pPr>
        <w:spacing w:line="360" w:lineRule="auto" w:after="80"/>
        <w:ind w:firstLine="420"/>
        <w:jc w:val="both"/>
      </w:pPr>
      <w:r>
        <w:rPr>
          <w:rFonts w:ascii="宋体" w:hAnsi="宋体" w:eastAsia="宋体"/>
          <w:b w:val="0"/>
          <w:sz w:val="21"/>
        </w:rPr>
        <w:t>需要指出的是，公开专利中给出的61 mm行程、12~13次换相、约45 ms单程和80~90 ms完整往复属于其实施例数据，本文只将其作为公开结构的工作示例，不直接作为本实物的测量结果。</w:t>
      </w:r>
    </w:p>
    <w:p>
      <w:pPr>
        <w:pStyle w:val="Heading2"/>
        <w:spacing w:before="160" w:after="80"/>
      </w:pPr>
      <w:r>
        <w:t>7.3 霍尔位置反馈与相序切换</w:t>
      </w:r>
    </w:p>
    <w:p>
      <w:pPr>
        <w:spacing w:line="360" w:lineRule="auto" w:after="80"/>
        <w:ind w:firstLine="420"/>
        <w:jc w:val="both"/>
      </w:pPr>
      <w:r>
        <w:rPr>
          <w:rFonts w:ascii="宋体" w:hAnsi="宋体" w:eastAsia="宋体"/>
          <w:b w:val="0"/>
          <w:sz w:val="21"/>
        </w:rPr>
        <w:t>霍尔位置反馈是圆筒型永磁直线执行机构能够连续推进的关键。如图可见，传感器并不直接产生推力，而是用于识别磁极相对于定子线圈的位置。控制器根据霍尔状态切换U、V、W三相的导通组合，使合成磁场的方向随磁铁模组位置变化。对教学分析而言，可以把它理解为“位置检测—逻辑判断—功率开关—磁场换向—继续运动”的闭环事件链。</w:t>
      </w:r>
    </w:p>
    <w:p>
      <w:pPr>
        <w:jc w:val="center"/>
      </w:pPr>
      <w:r>
        <w:drawing>
          <wp:inline xmlns:a="http://schemas.openxmlformats.org/drawingml/2006/main" xmlns:pic="http://schemas.openxmlformats.org/drawingml/2006/picture">
            <wp:extent cx="4860000" cy="2090323"/>
            <wp:docPr id="63" name="Picture 63"/>
            <wp:cNvGraphicFramePr>
              <a:graphicFrameLocks noChangeAspect="1"/>
            </wp:cNvGraphicFramePr>
            <a:graphic>
              <a:graphicData uri="http://schemas.openxmlformats.org/drawingml/2006/picture">
                <pic:pic>
                  <pic:nvPicPr>
                    <pic:cNvPr id="0" name="patent_fig11.png"/>
                    <pic:cNvPicPr/>
                  </pic:nvPicPr>
                  <pic:blipFill>
                    <a:blip r:embed="rId72"/>
                    <a:stretch>
                      <a:fillRect/>
                    </a:stretch>
                  </pic:blipFill>
                  <pic:spPr>
                    <a:xfrm>
                      <a:off x="0" y="0"/>
                      <a:ext cx="4860000" cy="2090323"/>
                    </a:xfrm>
                    <a:prstGeom prst="rect"/>
                  </pic:spPr>
                </pic:pic>
              </a:graphicData>
            </a:graphic>
          </wp:inline>
        </w:drawing>
      </w:r>
    </w:p>
    <w:p>
      <w:pPr>
        <w:spacing w:after="100"/>
        <w:jc w:val="center"/>
      </w:pPr>
      <w:r>
        <w:rPr>
          <w:rFonts w:ascii="宋体" w:hAnsi="宋体" w:eastAsia="宋体"/>
          <w:b w:val="0"/>
          <w:sz w:val="19"/>
        </w:rPr>
        <w:t>图16  CN215114188U控制部分结构示意图（来源：Google Patents）</w:t>
      </w:r>
    </w:p>
    <w:p>
      <w:pPr>
        <w:pStyle w:val="Heading2"/>
        <w:spacing w:before="160" w:after="80"/>
      </w:pPr>
      <w:r>
        <w:t>7.4 前端金属管与激光光轴</w:t>
      </w:r>
    </w:p>
    <w:p>
      <w:pPr>
        <w:spacing w:line="360" w:lineRule="auto" w:after="80"/>
        <w:ind w:firstLine="420"/>
        <w:jc w:val="both"/>
      </w:pPr>
      <w:r>
        <w:rPr>
          <w:rFonts w:ascii="宋体" w:hAnsi="宋体" w:eastAsia="宋体"/>
          <w:b w:val="0"/>
          <w:sz w:val="21"/>
        </w:rPr>
        <w:t>前端金属管、套筒和台肩主要体现轴向定位与同轴安装关系。如果激光模块安装在前端，则该金属管的轴线可以作为光学模块的机械基准。装配偏心、倾斜和间隙都会转换为靶面上的光斑偏移。对于小角度误差，靶面横向偏移与指向角近似满足：</w:t>
      </w:r>
    </w:p>
    <w:p>
      <w:pPr>
        <w:spacing w:before="40" w:after="60"/>
        <w:jc w:val="center"/>
      </w:pPr>
      <w:r>
        <w:drawing>
          <wp:inline xmlns:a="http://schemas.openxmlformats.org/drawingml/2006/main" xmlns:pic="http://schemas.openxmlformats.org/drawingml/2006/picture">
            <wp:extent cx="5616000" cy="327344"/>
            <wp:docPr id="64" name="Picture 64"/>
            <wp:cNvGraphicFramePr>
              <a:graphicFrameLocks noChangeAspect="1"/>
            </wp:cNvGraphicFramePr>
            <a:graphic>
              <a:graphicData uri="http://schemas.openxmlformats.org/drawingml/2006/picture">
                <pic:pic>
                  <pic:nvPicPr>
                    <pic:cNvPr id="0" name="eq_extra_49.png"/>
                    <pic:cNvPicPr/>
                  </pic:nvPicPr>
                  <pic:blipFill>
                    <a:blip r:embed="rId73"/>
                    <a:stretch>
                      <a:fillRect/>
                    </a:stretch>
                  </pic:blipFill>
                  <pic:spPr>
                    <a:xfrm>
                      <a:off x="0" y="0"/>
                      <a:ext cx="5616000" cy="327344"/>
                    </a:xfrm>
                    <a:prstGeom prst="rect"/>
                  </pic:spPr>
                </pic:pic>
              </a:graphicData>
            </a:graphic>
          </wp:inline>
        </w:drawing>
      </w:r>
    </w:p>
    <w:p>
      <w:pPr>
        <w:spacing w:line="360" w:lineRule="auto" w:after="80"/>
        <w:ind w:firstLine="420"/>
        <w:jc w:val="both"/>
      </w:pPr>
      <w:r>
        <w:rPr>
          <w:rFonts w:ascii="宋体" w:hAnsi="宋体" w:eastAsia="宋体"/>
          <w:b w:val="0"/>
          <w:sz w:val="21"/>
        </w:rPr>
        <w:t>若已知距离L处的光斑偏移量Δy，则指向角可反算为：</w:t>
      </w:r>
    </w:p>
    <w:p>
      <w:pPr>
        <w:spacing w:before="40" w:after="60"/>
        <w:jc w:val="center"/>
      </w:pPr>
      <w:r>
        <w:drawing>
          <wp:inline xmlns:a="http://schemas.openxmlformats.org/drawingml/2006/main" xmlns:pic="http://schemas.openxmlformats.org/drawingml/2006/picture">
            <wp:extent cx="5616000" cy="427191"/>
            <wp:docPr id="65" name="Picture 65"/>
            <wp:cNvGraphicFramePr>
              <a:graphicFrameLocks noChangeAspect="1"/>
            </wp:cNvGraphicFramePr>
            <a:graphic>
              <a:graphicData uri="http://schemas.openxmlformats.org/drawingml/2006/picture">
                <pic:pic>
                  <pic:nvPicPr>
                    <pic:cNvPr id="0" name="eq_extra_50.png"/>
                    <pic:cNvPicPr/>
                  </pic:nvPicPr>
                  <pic:blipFill>
                    <a:blip r:embed="rId74"/>
                    <a:stretch>
                      <a:fillRect/>
                    </a:stretch>
                  </pic:blipFill>
                  <pic:spPr>
                    <a:xfrm>
                      <a:off x="0" y="0"/>
                      <a:ext cx="5616000" cy="427191"/>
                    </a:xfrm>
                    <a:prstGeom prst="rect"/>
                  </pic:spPr>
                </pic:pic>
              </a:graphicData>
            </a:graphic>
          </wp:inline>
        </w:drawing>
      </w:r>
    </w:p>
    <w:p>
      <w:pPr>
        <w:spacing w:line="360" w:lineRule="auto" w:after="80"/>
        <w:ind w:firstLine="420"/>
        <w:jc w:val="both"/>
      </w:pPr>
      <w:r>
        <w:rPr>
          <w:rFonts w:ascii="宋体" w:hAnsi="宋体" w:eastAsia="宋体"/>
          <w:b w:val="0"/>
          <w:sz w:val="21"/>
        </w:rPr>
        <w:t>在高斯光束近似下，束腰处峰值光强与光功率和束腰半径之间满足：</w:t>
      </w:r>
    </w:p>
    <w:p>
      <w:pPr>
        <w:spacing w:before="40" w:after="60"/>
        <w:jc w:val="center"/>
      </w:pPr>
      <w:r>
        <w:drawing>
          <wp:inline xmlns:a="http://schemas.openxmlformats.org/drawingml/2006/main" xmlns:pic="http://schemas.openxmlformats.org/drawingml/2006/picture">
            <wp:extent cx="5616000" cy="541178"/>
            <wp:docPr id="66" name="Picture 66"/>
            <wp:cNvGraphicFramePr>
              <a:graphicFrameLocks noChangeAspect="1"/>
            </wp:cNvGraphicFramePr>
            <a:graphic>
              <a:graphicData uri="http://schemas.openxmlformats.org/drawingml/2006/picture">
                <pic:pic>
                  <pic:nvPicPr>
                    <pic:cNvPr id="0" name="eq_extra_51.png"/>
                    <pic:cNvPicPr/>
                  </pic:nvPicPr>
                  <pic:blipFill>
                    <a:blip r:embed="rId75"/>
                    <a:stretch>
                      <a:fillRect/>
                    </a:stretch>
                  </pic:blipFill>
                  <pic:spPr>
                    <a:xfrm>
                      <a:off x="0" y="0"/>
                      <a:ext cx="5616000" cy="541178"/>
                    </a:xfrm>
                    <a:prstGeom prst="rect"/>
                  </pic:spPr>
                </pic:pic>
              </a:graphicData>
            </a:graphic>
          </wp:inline>
        </w:drawing>
      </w:r>
    </w:p>
    <w:p>
      <w:pPr>
        <w:spacing w:line="360" w:lineRule="auto" w:after="80"/>
        <w:ind w:firstLine="420"/>
        <w:jc w:val="both"/>
      </w:pPr>
      <w:r>
        <w:rPr>
          <w:rFonts w:ascii="宋体" w:hAnsi="宋体" w:eastAsia="宋体"/>
          <w:b w:val="0"/>
          <w:sz w:val="21"/>
        </w:rPr>
        <w:t>因此，激光模块的评价不应只看“能否发光”，还应同时关注光轴重复性、光斑尺寸、发散角以及脉冲时序。</w:t>
      </w:r>
    </w:p>
    <w:p>
      <w:pPr>
        <w:pStyle w:val="Heading2"/>
        <w:spacing w:before="160" w:after="80"/>
      </w:pPr>
      <w:r>
        <w:t>7.5 电池组、BMS与瞬态供电</w:t>
      </w:r>
    </w:p>
    <w:p>
      <w:pPr>
        <w:spacing w:line="360" w:lineRule="auto" w:after="80"/>
        <w:ind w:firstLine="420"/>
        <w:jc w:val="both"/>
      </w:pPr>
      <w:r>
        <w:rPr>
          <w:rFonts w:ascii="宋体" w:hAnsi="宋体" w:eastAsia="宋体"/>
          <w:b w:val="0"/>
          <w:sz w:val="21"/>
        </w:rPr>
        <w:t>圆柱锂电池组与保护板图片能够为电磁执行分析提供直接的供电依据。电磁执行支路在短时间内需要较大的脉冲电流，而激光和控制电路对供电稳定性更敏感，因此电池内阻和线束压降都会影响两条支路。若将电池组简化为开路电压U_oc与等效内阻R_int串联，则负载端电压可近似写成：</w:t>
      </w:r>
    </w:p>
    <w:p>
      <w:pPr>
        <w:spacing w:before="40" w:after="60"/>
        <w:jc w:val="center"/>
      </w:pPr>
      <w:r>
        <w:drawing>
          <wp:inline xmlns:a="http://schemas.openxmlformats.org/drawingml/2006/main" xmlns:pic="http://schemas.openxmlformats.org/drawingml/2006/picture">
            <wp:extent cx="5616000" cy="288000"/>
            <wp:docPr id="67" name="Picture 67"/>
            <wp:cNvGraphicFramePr>
              <a:graphicFrameLocks noChangeAspect="1"/>
            </wp:cNvGraphicFramePr>
            <a:graphic>
              <a:graphicData uri="http://schemas.openxmlformats.org/drawingml/2006/picture">
                <pic:pic>
                  <pic:nvPicPr>
                    <pic:cNvPr id="0" name="eq_extra_52.png"/>
                    <pic:cNvPicPr/>
                  </pic:nvPicPr>
                  <pic:blipFill>
                    <a:blip r:embed="rId76"/>
                    <a:stretch>
                      <a:fillRect/>
                    </a:stretch>
                  </pic:blipFill>
                  <pic:spPr>
                    <a:xfrm>
                      <a:off x="0" y="0"/>
                      <a:ext cx="5616000" cy="288000"/>
                    </a:xfrm>
                    <a:prstGeom prst="rect"/>
                  </pic:spPr>
                </pic:pic>
              </a:graphicData>
            </a:graphic>
          </wp:inline>
        </w:drawing>
      </w:r>
    </w:p>
    <w:p>
      <w:pPr>
        <w:spacing w:line="360" w:lineRule="auto" w:after="80"/>
        <w:ind w:firstLine="420"/>
        <w:jc w:val="both"/>
      </w:pPr>
      <w:r>
        <w:rPr>
          <w:rFonts w:ascii="宋体" w:hAnsi="宋体" w:eastAsia="宋体"/>
          <w:b w:val="0"/>
          <w:sz w:val="21"/>
        </w:rPr>
        <w:t>瞬时输出功率为：</w:t>
      </w:r>
    </w:p>
    <w:p>
      <w:pPr>
        <w:spacing w:before="40" w:after="60"/>
        <w:jc w:val="center"/>
      </w:pPr>
      <w:r>
        <w:drawing>
          <wp:inline xmlns:a="http://schemas.openxmlformats.org/drawingml/2006/main" xmlns:pic="http://schemas.openxmlformats.org/drawingml/2006/picture">
            <wp:extent cx="5616000" cy="301783"/>
            <wp:docPr id="68" name="Picture 68"/>
            <wp:cNvGraphicFramePr>
              <a:graphicFrameLocks noChangeAspect="1"/>
            </wp:cNvGraphicFramePr>
            <a:graphic>
              <a:graphicData uri="http://schemas.openxmlformats.org/drawingml/2006/picture">
                <pic:pic>
                  <pic:nvPicPr>
                    <pic:cNvPr id="0" name="eq_extra_53.png"/>
                    <pic:cNvPicPr/>
                  </pic:nvPicPr>
                  <pic:blipFill>
                    <a:blip r:embed="rId77"/>
                    <a:stretch>
                      <a:fillRect/>
                    </a:stretch>
                  </pic:blipFill>
                  <pic:spPr>
                    <a:xfrm>
                      <a:off x="0" y="0"/>
                      <a:ext cx="5616000" cy="301783"/>
                    </a:xfrm>
                    <a:prstGeom prst="rect"/>
                  </pic:spPr>
                </pic:pic>
              </a:graphicData>
            </a:graphic>
          </wp:inline>
        </w:drawing>
      </w:r>
    </w:p>
    <w:p>
      <w:pPr>
        <w:spacing w:line="360" w:lineRule="auto" w:after="80"/>
        <w:ind w:firstLine="420"/>
        <w:jc w:val="both"/>
      </w:pPr>
      <w:r>
        <w:rPr>
          <w:rFonts w:ascii="宋体" w:hAnsi="宋体" w:eastAsia="宋体"/>
          <w:b w:val="0"/>
          <w:sz w:val="21"/>
        </w:rPr>
        <w:t>在一次触发窗口内，电池向系统提供的电能可表示为：</w:t>
      </w:r>
    </w:p>
    <w:p>
      <w:pPr>
        <w:spacing w:before="40" w:after="60"/>
        <w:jc w:val="center"/>
      </w:pPr>
      <w:r>
        <w:drawing>
          <wp:inline xmlns:a="http://schemas.openxmlformats.org/drawingml/2006/main" xmlns:pic="http://schemas.openxmlformats.org/drawingml/2006/picture">
            <wp:extent cx="5616000" cy="489468"/>
            <wp:docPr id="69" name="Picture 69"/>
            <wp:cNvGraphicFramePr>
              <a:graphicFrameLocks noChangeAspect="1"/>
            </wp:cNvGraphicFramePr>
            <a:graphic>
              <a:graphicData uri="http://schemas.openxmlformats.org/drawingml/2006/picture">
                <pic:pic>
                  <pic:nvPicPr>
                    <pic:cNvPr id="0" name="eq_extra_54.png"/>
                    <pic:cNvPicPr/>
                  </pic:nvPicPr>
                  <pic:blipFill>
                    <a:blip r:embed="rId78"/>
                    <a:stretch>
                      <a:fillRect/>
                    </a:stretch>
                  </pic:blipFill>
                  <pic:spPr>
                    <a:xfrm>
                      <a:off x="0" y="0"/>
                      <a:ext cx="5616000" cy="489468"/>
                    </a:xfrm>
                    <a:prstGeom prst="rect"/>
                  </pic:spPr>
                </pic:pic>
              </a:graphicData>
            </a:graphic>
          </wp:inline>
        </w:drawing>
      </w:r>
    </w:p>
    <w:p>
      <w:pPr>
        <w:spacing w:line="360" w:lineRule="auto" w:after="80"/>
        <w:ind w:firstLine="420"/>
        <w:jc w:val="both"/>
      </w:pPr>
      <w:r>
        <w:rPr>
          <w:rFonts w:ascii="宋体" w:hAnsi="宋体" w:eastAsia="宋体"/>
          <w:b w:val="0"/>
          <w:sz w:val="21"/>
        </w:rPr>
        <w:t>当电磁支路出现较大脉冲电流时，端电压瞬时下降会同时影响控制板和激光驱动，因此后续测试应同步记录电池端电压、总电流、线圈电流和激光输出，判断两支路之间是否存在供电耦合。</w:t>
      </w:r>
    </w:p>
    <w:p>
      <w:pPr>
        <w:pStyle w:val="Heading2"/>
        <w:spacing w:before="160" w:after="80"/>
      </w:pPr>
      <w:r>
        <w:t>7.6 电磁—激光协同工作链路</w:t>
      </w:r>
    </w:p>
    <w:p>
      <w:pPr>
        <w:jc w:val="center"/>
      </w:pPr>
      <w:r>
        <w:drawing>
          <wp:inline xmlns:a="http://schemas.openxmlformats.org/drawingml/2006/main" xmlns:pic="http://schemas.openxmlformats.org/drawingml/2006/picture">
            <wp:extent cx="5472000" cy="2443324"/>
            <wp:docPr id="70" name="Picture 70"/>
            <wp:cNvGraphicFramePr>
              <a:graphicFrameLocks noChangeAspect="1"/>
            </wp:cNvGraphicFramePr>
            <a:graphic>
              <a:graphicData uri="http://schemas.openxmlformats.org/drawingml/2006/picture">
                <pic:pic>
                  <pic:nvPicPr>
                    <pic:cNvPr id="0" name="exact_chain.png"/>
                    <pic:cNvPicPr/>
                  </pic:nvPicPr>
                  <pic:blipFill>
                    <a:blip r:embed="rId79"/>
                    <a:stretch>
                      <a:fillRect/>
                    </a:stretch>
                  </pic:blipFill>
                  <pic:spPr>
                    <a:xfrm>
                      <a:off x="0" y="0"/>
                      <a:ext cx="5472000" cy="2443324"/>
                    </a:xfrm>
                    <a:prstGeom prst="rect"/>
                  </pic:spPr>
                </pic:pic>
              </a:graphicData>
            </a:graphic>
          </wp:inline>
        </w:drawing>
      </w:r>
    </w:p>
    <w:p>
      <w:pPr>
        <w:spacing w:line="360" w:lineRule="auto" w:after="80"/>
        <w:ind w:firstLine="420"/>
        <w:jc w:val="both"/>
      </w:pPr>
      <w:r>
        <w:rPr>
          <w:rFonts w:ascii="宋体" w:hAnsi="宋体" w:eastAsia="宋体"/>
          <w:b w:val="0"/>
          <w:sz w:val="21"/>
        </w:rPr>
        <w:t>结合实物结构与公开专利，可以把一次触发过程归纳为：电池仓插接后为控制板和驱动板供电；扳机或模式开关产生输入；控制板一方面驱动激光器输出脉冲，另一方面向驱动板发出相序控制命令；驱动板依次控制U、V、W线圈，使磁铁模组向后运动并撞击后挡部；霍尔传感器持续反馈位置，控制器完成换相与复位。这样，机械反馈和光学反馈在同一次触发事件下协同产生。</w:t>
      </w:r>
    </w:p>
    <w:p>
      <w:pPr>
        <w:spacing w:line="360" w:lineRule="auto" w:after="80"/>
        <w:ind w:firstLine="420"/>
        <w:jc w:val="both"/>
      </w:pPr>
      <w:r>
        <w:rPr>
          <w:rFonts w:ascii="宋体" w:hAnsi="宋体" w:eastAsia="宋体"/>
          <w:b w:val="0"/>
          <w:sz w:val="21"/>
        </w:rPr>
        <w:t>若把机械反馈时刻记为t_em、激光输出时刻记为t_laser，则两路同步误差为：</w:t>
      </w:r>
    </w:p>
    <w:p>
      <w:pPr>
        <w:spacing w:before="40" w:after="60"/>
        <w:jc w:val="center"/>
      </w:pPr>
      <w:r>
        <w:drawing>
          <wp:inline xmlns:a="http://schemas.openxmlformats.org/drawingml/2006/main" xmlns:pic="http://schemas.openxmlformats.org/drawingml/2006/picture">
            <wp:extent cx="5616000" cy="306910"/>
            <wp:docPr id="71" name="Picture 71"/>
            <wp:cNvGraphicFramePr>
              <a:graphicFrameLocks noChangeAspect="1"/>
            </wp:cNvGraphicFramePr>
            <a:graphic>
              <a:graphicData uri="http://schemas.openxmlformats.org/drawingml/2006/picture">
                <pic:pic>
                  <pic:nvPicPr>
                    <pic:cNvPr id="0" name="eq_extra_55.png"/>
                    <pic:cNvPicPr/>
                  </pic:nvPicPr>
                  <pic:blipFill>
                    <a:blip r:embed="rId80"/>
                    <a:stretch>
                      <a:fillRect/>
                    </a:stretch>
                  </pic:blipFill>
                  <pic:spPr>
                    <a:xfrm>
                      <a:off x="0" y="0"/>
                      <a:ext cx="5616000" cy="306910"/>
                    </a:xfrm>
                    <a:prstGeom prst="rect"/>
                  </pic:spPr>
                </pic:pic>
              </a:graphicData>
            </a:graphic>
          </wp:inline>
        </w:drawing>
      </w:r>
    </w:p>
    <w:p>
      <w:pPr>
        <w:spacing w:line="360" w:lineRule="auto" w:after="80"/>
        <w:ind w:firstLine="420"/>
        <w:jc w:val="both"/>
      </w:pPr>
      <w:r>
        <w:rPr>
          <w:rFonts w:ascii="宋体" w:hAnsi="宋体" w:eastAsia="宋体"/>
          <w:b w:val="0"/>
          <w:sz w:val="21"/>
        </w:rPr>
        <w:t>多次重复触发时，可用同步误差的均值和标准差描述稳定性：</w:t>
      </w:r>
    </w:p>
    <w:p>
      <w:pPr>
        <w:spacing w:before="40" w:after="60"/>
        <w:jc w:val="center"/>
      </w:pPr>
      <w:r>
        <w:drawing>
          <wp:inline xmlns:a="http://schemas.openxmlformats.org/drawingml/2006/main" xmlns:pic="http://schemas.openxmlformats.org/drawingml/2006/picture">
            <wp:extent cx="5616000" cy="739334"/>
            <wp:docPr id="72" name="Picture 72"/>
            <wp:cNvGraphicFramePr>
              <a:graphicFrameLocks noChangeAspect="1"/>
            </wp:cNvGraphicFramePr>
            <a:graphic>
              <a:graphicData uri="http://schemas.openxmlformats.org/drawingml/2006/picture">
                <pic:pic>
                  <pic:nvPicPr>
                    <pic:cNvPr id="0" name="eq_extra_56.png"/>
                    <pic:cNvPicPr/>
                  </pic:nvPicPr>
                  <pic:blipFill>
                    <a:blip r:embed="rId81"/>
                    <a:stretch>
                      <a:fillRect/>
                    </a:stretch>
                  </pic:blipFill>
                  <pic:spPr>
                    <a:xfrm>
                      <a:off x="0" y="0"/>
                      <a:ext cx="5616000" cy="739334"/>
                    </a:xfrm>
                    <a:prstGeom prst="rect"/>
                  </pic:spPr>
                </pic:pic>
              </a:graphicData>
            </a:graphic>
          </wp:inline>
        </w:drawing>
      </w:r>
    </w:p>
    <w:p>
      <w:pPr>
        <w:spacing w:before="40" w:after="60"/>
        <w:jc w:val="center"/>
      </w:pPr>
      <w:r>
        <w:drawing>
          <wp:inline xmlns:a="http://schemas.openxmlformats.org/drawingml/2006/main" xmlns:pic="http://schemas.openxmlformats.org/drawingml/2006/picture">
            <wp:extent cx="5616000" cy="728794"/>
            <wp:docPr id="73" name="Picture 73"/>
            <wp:cNvGraphicFramePr>
              <a:graphicFrameLocks noChangeAspect="1"/>
            </wp:cNvGraphicFramePr>
            <a:graphic>
              <a:graphicData uri="http://schemas.openxmlformats.org/drawingml/2006/picture">
                <pic:pic>
                  <pic:nvPicPr>
                    <pic:cNvPr id="0" name="eq_extra_57.png"/>
                    <pic:cNvPicPr/>
                  </pic:nvPicPr>
                  <pic:blipFill>
                    <a:blip r:embed="rId82"/>
                    <a:stretch>
                      <a:fillRect/>
                    </a:stretch>
                  </pic:blipFill>
                  <pic:spPr>
                    <a:xfrm>
                      <a:off x="0" y="0"/>
                      <a:ext cx="5616000" cy="728794"/>
                    </a:xfrm>
                    <a:prstGeom prst="rect"/>
                  </pic:spPr>
                </pic:pic>
              </a:graphicData>
            </a:graphic>
          </wp:inline>
        </w:drawing>
      </w:r>
    </w:p>
    <w:p>
      <w:pPr>
        <w:pStyle w:val="Heading2"/>
        <w:spacing w:before="160" w:after="80"/>
      </w:pPr>
      <w:r>
        <w:t>7.7 本节小结</w:t>
      </w:r>
    </w:p>
    <w:p>
      <w:pPr>
        <w:spacing w:line="360" w:lineRule="auto" w:after="80"/>
        <w:ind w:firstLine="420"/>
        <w:jc w:val="both"/>
      </w:pPr>
      <w:r>
        <w:rPr>
          <w:rFonts w:ascii="宋体" w:hAnsi="宋体" w:eastAsia="宋体"/>
          <w:b w:val="0"/>
          <w:sz w:val="21"/>
        </w:rPr>
        <w:t>通过把本轮实物图与公开专利结构进行对照，可以把原先较笼统的“电磁铁+激光”描述进一步细化为“电池与保护—控制板—驱动板—三相线圈—永磁体模组—霍尔位置反馈—机械撞击”和“控制板—激光驱动—激光器—前端光轴”两条支路。与单纯增加图片相比，这种“实物图—结构图—公式—工作链路”的组织方式能够更清楚地说明每个部件为什么存在、如何工作以及后续应测什么参数。</w:t>
      </w:r>
    </w:p>
    <w:p>
      <w:pPr>
        <w:keepNext/>
        <w:spacing w:before="180" w:after="80"/>
      </w:pPr>
      <w:r>
        <w:rPr>
          <w:rFonts w:ascii="黑体" w:hAnsi="黑体" w:eastAsia="黑体"/>
          <w:b/>
          <w:sz w:val="30"/>
        </w:rPr>
        <w:t>参考文献</w:t>
      </w:r>
    </w:p>
    <w:p>
      <w:pPr>
        <w:spacing w:line="276" w:lineRule="auto" w:after="40"/>
        <w:ind w:left="360" w:hanging="360"/>
        <w:jc w:val="both"/>
      </w:pPr>
      <w:r>
        <w:rPr>
          <w:rFonts w:ascii="宋体" w:hAnsi="宋体" w:eastAsia="宋体"/>
          <w:b w:val="0"/>
          <w:sz w:val="18"/>
        </w:rPr>
        <w:t>[1] 王淑红, 肖旭亮, 熊光煜. 直流恒力电磁铁特性[J]. 机械工程学报, 2008, 44(2): 244-247.</w:t>
      </w:r>
    </w:p>
    <w:p>
      <w:pPr>
        <w:spacing w:line="276" w:lineRule="auto" w:after="40"/>
        <w:ind w:left="360" w:hanging="360"/>
        <w:jc w:val="both"/>
      </w:pPr>
      <w:r>
        <w:rPr>
          <w:rFonts w:ascii="宋体" w:hAnsi="宋体" w:eastAsia="宋体"/>
          <w:b w:val="0"/>
          <w:sz w:val="18"/>
        </w:rPr>
        <w:t>[2] 赵建辉, 周勇, 石勇, 等. 共轨喷油器高速电磁阀动态响应试验研究[J]. 哈尔滨工程大学学报, 2018, 39(1): 74-79. DOI:10.11990/jheu.201611063.</w:t>
      </w:r>
    </w:p>
    <w:p>
      <w:pPr>
        <w:spacing w:line="276" w:lineRule="auto" w:after="40"/>
        <w:ind w:left="360" w:hanging="360"/>
        <w:jc w:val="both"/>
      </w:pPr>
      <w:r>
        <w:rPr>
          <w:rFonts w:ascii="宋体" w:hAnsi="宋体" w:eastAsia="宋体"/>
          <w:b w:val="0"/>
          <w:sz w:val="18"/>
        </w:rPr>
        <w:t>[3] 赵建辉, 陈文菲, 杨贵春, 陈敬炎. 高速电磁阀能量分布和动态响应耦合关系仿真[J]. 西南交通大学学报, 2024, 59(6): 1398-1405. DOI:10.3969/j.issn.0258-2724.20220452.</w:t>
      </w:r>
    </w:p>
    <w:p>
      <w:pPr>
        <w:spacing w:line="276" w:lineRule="auto" w:after="40"/>
        <w:ind w:left="360" w:hanging="360"/>
        <w:jc w:val="both"/>
      </w:pPr>
      <w:r>
        <w:rPr>
          <w:rFonts w:ascii="宋体" w:hAnsi="宋体" w:eastAsia="宋体"/>
          <w:b w:val="0"/>
          <w:sz w:val="18"/>
        </w:rPr>
        <w:t>[4] 李英杰, 陈川, 张瑜, 等. 电磁铁传热特性及散热优化的数值模拟[J]. 重庆大学学报, 2024, 47(5): 24-36. DOI:10.11835/j.issn.1000.582X.2024.05.005.</w:t>
      </w:r>
    </w:p>
    <w:p>
      <w:pPr>
        <w:spacing w:line="276" w:lineRule="auto" w:after="40"/>
        <w:ind w:left="360" w:hanging="360"/>
        <w:jc w:val="both"/>
      </w:pPr>
      <w:r>
        <w:rPr>
          <w:rFonts w:ascii="宋体" w:hAnsi="宋体" w:eastAsia="宋体"/>
          <w:b w:val="0"/>
          <w:sz w:val="18"/>
        </w:rPr>
        <w:t>[5] 孙雷强, 庄劲武, 王冲, 等. 基于联合仿真的断路器合闸电磁铁的动态特性研究[J]. 电气工程学报, 2023, 18(1): 104-110. DOI:10.11985/2023.01.011.</w:t>
      </w:r>
    </w:p>
    <w:p>
      <w:pPr>
        <w:spacing w:line="276" w:lineRule="auto" w:after="40"/>
        <w:ind w:left="360" w:hanging="360"/>
        <w:jc w:val="both"/>
      </w:pPr>
      <w:r>
        <w:rPr>
          <w:rFonts w:ascii="宋体" w:hAnsi="宋体" w:eastAsia="宋体"/>
          <w:b w:val="0"/>
          <w:sz w:val="18"/>
        </w:rPr>
        <w:t>[6] XU Y, JONES B. A simple means of predicting the dynamic response of electromagnetic actuators[J]. Mechatronics, 1997, 7(7): 589-598. DOI:10.1016/S0957-4158(97)00028-7.</w:t>
      </w:r>
    </w:p>
    <w:p>
      <w:pPr>
        <w:spacing w:line="276" w:lineRule="auto" w:after="40"/>
        <w:ind w:left="360" w:hanging="360"/>
        <w:jc w:val="both"/>
      </w:pPr>
      <w:r>
        <w:rPr>
          <w:rFonts w:ascii="宋体" w:hAnsi="宋体" w:eastAsia="宋体"/>
          <w:b w:val="0"/>
          <w:sz w:val="18"/>
        </w:rPr>
        <w:t>[7] LIU Q, BO H, QIN B. Experimental study and numerical analysis on electromagnetic force of direct action solenoid valve[J]. Nuclear Engineering and Design, 2010, 240(12): 4031-4036. DOI:10.1016/j.nucengdes.2010.09.028.</w:t>
      </w:r>
    </w:p>
    <w:p>
      <w:pPr>
        <w:spacing w:line="276" w:lineRule="auto" w:after="40"/>
        <w:ind w:left="360" w:hanging="360"/>
        <w:jc w:val="both"/>
      </w:pPr>
      <w:r>
        <w:rPr>
          <w:rFonts w:ascii="宋体" w:hAnsi="宋体" w:eastAsia="宋体"/>
          <w:b w:val="0"/>
          <w:sz w:val="18"/>
        </w:rPr>
        <w:t>[8] ZHAO J, WANG M, WANG Z, et al. Different boost voltage effects on the dynamic response and energy losses of high-speed solenoid valves[J]. Applied Thermal Engineering, 2017, 123: 1494-1503. DOI:10.1016/j.applthermaleng.2017.05.117.</w:t>
      </w:r>
    </w:p>
    <w:p>
      <w:pPr>
        <w:spacing w:line="276" w:lineRule="auto" w:after="40"/>
        <w:ind w:left="360" w:hanging="360"/>
        <w:jc w:val="both"/>
      </w:pPr>
      <w:r>
        <w:rPr>
          <w:rFonts w:ascii="宋体" w:hAnsi="宋体" w:eastAsia="宋体"/>
          <w:b w:val="0"/>
          <w:sz w:val="18"/>
        </w:rPr>
        <w:t>[9] LIU P, ZHANG R, ZHAO Q, PENG S. Eddy Effect and Dynamic Response of High-Speed Solenoid Valve with Composite Iron Core[J]. Materials, 2023, 16(17): 5823. DOI:10.3390/ma16175823.</w:t>
      </w:r>
    </w:p>
    <w:p>
      <w:pPr>
        <w:spacing w:line="276" w:lineRule="auto" w:after="40"/>
        <w:ind w:left="360" w:hanging="360"/>
        <w:jc w:val="both"/>
      </w:pPr>
      <w:r>
        <w:rPr>
          <w:rFonts w:ascii="宋体" w:hAnsi="宋体" w:eastAsia="宋体"/>
          <w:b w:val="0"/>
          <w:sz w:val="18"/>
        </w:rPr>
        <w:t>[10] GEEPLUS. Push-Pull Solenoids[EB/OL]. https://www.geeplus.com/push-pull-solenoids/.</w:t>
      </w:r>
    </w:p>
    <w:p>
      <w:pPr>
        <w:spacing w:line="276" w:lineRule="auto" w:after="40"/>
        <w:ind w:left="360" w:hanging="360"/>
        <w:jc w:val="both"/>
      </w:pPr>
      <w:r>
        <w:rPr>
          <w:rFonts w:ascii="宋体" w:hAnsi="宋体" w:eastAsia="宋体"/>
          <w:b w:val="0"/>
          <w:sz w:val="18"/>
        </w:rPr>
        <w:t>[11] 谭佐军, 薛松, 康竟然, 陈海清. 激光引信中半导体激光器的准直及其测试[J]. 应用光学, 2007, 28(4): 454-457.</w:t>
      </w:r>
    </w:p>
    <w:p>
      <w:pPr>
        <w:spacing w:line="276" w:lineRule="auto" w:after="40"/>
        <w:ind w:left="360" w:hanging="360"/>
        <w:jc w:val="both"/>
      </w:pPr>
      <w:r>
        <w:rPr>
          <w:rFonts w:ascii="宋体" w:hAnsi="宋体" w:eastAsia="宋体"/>
          <w:b w:val="0"/>
          <w:sz w:val="18"/>
        </w:rPr>
        <w:t>[12] 聂建华, 王峻宁. 基于ZEMAX的半导体激光准直镜设计方法研究[J]. 红外, 2012, 33(3): 22-26.</w:t>
      </w:r>
    </w:p>
    <w:p>
      <w:pPr>
        <w:spacing w:line="276" w:lineRule="auto" w:after="40"/>
        <w:ind w:left="360" w:hanging="360"/>
        <w:jc w:val="both"/>
      </w:pPr>
      <w:r>
        <w:rPr>
          <w:rFonts w:ascii="宋体" w:hAnsi="宋体" w:eastAsia="宋体"/>
          <w:b w:val="0"/>
          <w:sz w:val="18"/>
        </w:rPr>
        <w:t>[13] 段园园, 吉晓, 阴万宏, 等. 一种大功率宽波段激光束散角的校准测试方法[J]. 应用光学, 2023, 44(2): 450-455. DOI:10.5768/JAO202344.0207004.</w:t>
      </w:r>
    </w:p>
    <w:p>
      <w:pPr>
        <w:spacing w:line="276" w:lineRule="auto" w:after="40"/>
        <w:ind w:left="360" w:hanging="360"/>
        <w:jc w:val="both"/>
      </w:pPr>
      <w:r>
        <w:rPr>
          <w:rFonts w:ascii="宋体" w:hAnsi="宋体" w:eastAsia="宋体"/>
          <w:b w:val="0"/>
          <w:sz w:val="18"/>
        </w:rPr>
        <w:t>[14] COLDREN L A, CORZINE S W, MASHANOVITCH M L. Diode Lasers and Photonic Integrated Circuits[M]. 2nd ed. Hoboken: Wiley, 2012. DOI:10.1002/9781118148167.</w:t>
      </w:r>
    </w:p>
    <w:p>
      <w:pPr>
        <w:spacing w:line="276" w:lineRule="auto" w:after="40"/>
        <w:ind w:left="360" w:hanging="360"/>
        <w:jc w:val="both"/>
      </w:pPr>
      <w:r>
        <w:rPr>
          <w:rFonts w:ascii="宋体" w:hAnsi="宋体" w:eastAsia="宋体"/>
          <w:b w:val="0"/>
          <w:sz w:val="18"/>
        </w:rPr>
        <w:t>[15] XU Q, HAN Y, CUI Z. Characteristic of laser diode beam propagation through a collimating lens[J]. Applied Optics, 2010, 49(3): 549-553. DOI:10.1364/AO.49.000549.</w:t>
      </w:r>
    </w:p>
    <w:p>
      <w:pPr>
        <w:spacing w:line="276" w:lineRule="auto" w:after="40"/>
        <w:ind w:left="360" w:hanging="360"/>
        <w:jc w:val="both"/>
      </w:pPr>
      <w:r>
        <w:rPr>
          <w:rFonts w:ascii="宋体" w:hAnsi="宋体" w:eastAsia="宋体"/>
          <w:b w:val="0"/>
          <w:sz w:val="18"/>
        </w:rPr>
        <w:t>[16] KOGELNIK H, LI T. Laser beams and resonators[J]. Applied Optics, 1966, 5(10): 1550-1567. DOI:10.1364/AO.5.001550.</w:t>
      </w:r>
    </w:p>
    <w:p>
      <w:pPr>
        <w:spacing w:line="276" w:lineRule="auto" w:after="40"/>
        <w:ind w:left="360" w:hanging="360"/>
        <w:jc w:val="both"/>
      </w:pPr>
      <w:r>
        <w:rPr>
          <w:rFonts w:ascii="宋体" w:hAnsi="宋体" w:eastAsia="宋体"/>
          <w:b w:val="0"/>
          <w:sz w:val="18"/>
        </w:rPr>
        <w:t>[17] ISO. ISO 11146-1:2021 Lasers and laser-related equipment—Test methods for laser beam widths, divergence angles and beam propagation ratios—Part 1: Stigmatic and simple astigmatic beams[S]. Geneva: International Organization for Standardization, 2021.</w:t>
      </w:r>
    </w:p>
    <w:p>
      <w:pPr>
        <w:spacing w:line="276" w:lineRule="auto" w:after="40"/>
        <w:ind w:left="360" w:hanging="360"/>
        <w:jc w:val="both"/>
      </w:pPr>
      <w:r>
        <w:rPr>
          <w:rFonts w:ascii="宋体" w:hAnsi="宋体" w:eastAsia="宋体"/>
          <w:b w:val="0"/>
          <w:sz w:val="18"/>
        </w:rPr>
        <w:t>[18] COHERENT CORP. Diode Laser Modules[EB/OL]. https://www.coherent.com/lasers/diode-modules.</w:t>
      </w:r>
    </w:p>
    <w:p>
      <w:pPr>
        <w:spacing w:line="276" w:lineRule="auto" w:after="40"/>
        <w:ind w:left="360" w:hanging="360"/>
        <w:jc w:val="both"/>
      </w:pPr>
      <w:r>
        <w:rPr>
          <w:rFonts w:ascii="宋体" w:hAnsi="宋体" w:eastAsia="宋体"/>
          <w:b w:val="0"/>
          <w:sz w:val="18"/>
        </w:rPr>
        <w:t>[19] 国家市场监督管理总局, 国家标准化管理委员会. GB/T 7247.1-2024 激光产品的安全 第1部分：设备分类和要求[S]. 北京: 中国标准出版社, 2024.</w:t>
      </w:r>
    </w:p>
    <w:p>
      <w:pPr>
        <w:spacing w:line="276" w:lineRule="auto" w:after="40"/>
        <w:ind w:left="360" w:hanging="360"/>
        <w:jc w:val="both"/>
      </w:pPr>
      <w:r>
        <w:rPr>
          <w:rFonts w:ascii="宋体" w:hAnsi="宋体" w:eastAsia="宋体"/>
          <w:b w:val="0"/>
          <w:sz w:val="18"/>
        </w:rPr>
        <w:t>[20] 国家市场监督管理总局, 国家标准化管理委员会. GB 31241-2022 便携式电子产品用锂离子电池和电池组 安全技术规范[S]. 北京: 中国标准出版社, 2022.</w:t>
      </w:r>
    </w:p>
    <w:p>
      <w:pPr>
        <w:spacing w:after="100"/>
        <w:jc w:val="center"/>
      </w:pPr>
      <w:r>
        <w:rPr>
          <w:rFonts w:ascii="宋体" w:hAnsi="宋体" w:eastAsia="宋体"/>
          <w:b w:val="0"/>
          <w:sz w:val="19"/>
        </w:rPr>
        <w:t>图10  本轮实物图片的选取与理论分析对应关系</w:t>
      </w:r>
    </w:p>
    <w:p>
      <w:pPr>
        <w:spacing w:after="100"/>
        <w:jc w:val="center"/>
      </w:pPr>
      <w:r>
        <w:rPr>
          <w:rFonts w:ascii="宋体" w:hAnsi="宋体" w:eastAsia="宋体"/>
          <w:b w:val="0"/>
          <w:sz w:val="19"/>
        </w:rPr>
        <w:t>图14  圆筒型永磁直线执行机构原理示意</w:t>
      </w:r>
    </w:p>
    <w:p>
      <w:pPr>
        <w:spacing w:after="100"/>
        <w:jc w:val="center"/>
      </w:pPr>
      <w:r>
        <w:rPr>
          <w:rFonts w:ascii="宋体" w:hAnsi="宋体" w:eastAsia="宋体"/>
          <w:b w:val="0"/>
          <w:sz w:val="19"/>
        </w:rPr>
        <w:t>图17  结合公开专利的电磁—激光完整控制链路</w:t>
      </w:r>
    </w:p>
    <w:sectPr w:rsidR="00FC693F" w:rsidRPr="0006063C" w:rsidSect="00034616">
      <w:footerReference w:type="default" r:id="rId9"/>
      <w:pgSz w:w="12240" w:h="15840"/>
      <w:pgMar w:top="1361" w:right="1361"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95式电磁激光仿真训练模型结构与原理说明—实物图、公式与原理强化版</dc:title>
  <dc:subject>研究生作者口吻；实物图片分析；公开专利结构对照；公式与工作原理强化</dc:subject>
  <dc:creator>作者</dc:creator>
  <cp:keywords/>
  <dc:description>generated by python-docx</dc:description>
  <cp:lastModifiedBy/>
  <cp:revision>1</cp:revision>
  <dcterms:created xsi:type="dcterms:W3CDTF">2013-12-23T23:15:00Z</dcterms:created>
  <dcterms:modified xsi:type="dcterms:W3CDTF">2013-12-23T23:15:00Z</dcterms:modified>
  <cp:category/>
</cp:coreProperties>
</file>