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95式电磁—激光仿真训练模型关键模块结构与工作原理分析</w:t>
      </w:r>
    </w:p>
    <w:p>
      <w:pPr>
        <w:pStyle w:val="FirstParagraph"/>
      </w:pPr>
      <w:r>
        <w:rPr>
          <w:bCs/>
          <w:b/>
        </w:rPr>
        <w:t xml:space="preserve">摘 要：</w:t>
      </w:r>
      <w:r>
        <w:t xml:space="preserve"> </w:t>
      </w:r>
      <w:r>
        <w:t xml:space="preserve">本文以现有95式外形仿真训练模型的拆解照片、锂电池组件、线束连接以及管状执行总成为基础，对系统结构和关键工作机理进行分析。实物能够确认装置采用电池供能，并包含保护/管理电路、主电源线、多芯线束、前端管状组件及安装定位结构；电磁铁和激光器的具体型号及内部安装位置尚未完全拆解确认。为避免将功能推断写成既定事实，本文把电磁执行与激光输出作为功能性模型处理，重点对磁路、电磁力、电气瞬态、机械运动、线圈温升、半导体激光电光转换、高斯光束传播和光轴偏差等关系进行校核，并给出公式适用条件与测试验证方法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仿真训练模型；电磁铁；磁共能；机电耦合；半导体激光器；高斯光束</w:t>
      </w:r>
    </w:p>
    <w:bookmarkStart w:id="20" w:name="引言"/>
    <w:p>
      <w:pPr>
        <w:pStyle w:val="Heading1"/>
      </w:pPr>
      <w:r>
        <w:t xml:space="preserve">1 引言</w:t>
      </w:r>
    </w:p>
    <w:p>
      <w:pPr>
        <w:pStyle w:val="FirstParagraph"/>
      </w:pPr>
      <w:r>
        <w:t xml:space="preserve">电磁执行机构的动态响应本质上是电路、磁场与机械运动相互耦合的过程。已有研究表明，电磁吸力与磁路结构、气隙和线圈电流密切相关，动态响应还受到运动质量、弹簧预紧、涡流和焦耳热等因素影响[1-5]。国外研究进一步从磁阻参数识别、多物理场建模、驱动电压和涡流损耗等方面对电磁执行器进行了分析[6-9]。这些研究用于支撑本文的基本理论关系，但其中的几何参数和性能指标不直接套用于本模型。</w:t>
      </w:r>
    </w:p>
    <w:bookmarkEnd w:id="20"/>
    <w:bookmarkStart w:id="27" w:name="系统总体组成与功能布置"/>
    <w:p>
      <w:pPr>
        <w:pStyle w:val="Heading1"/>
      </w:pPr>
      <w:r>
        <w:t xml:space="preserve">2 系统总体组成与功能布置</w:t>
      </w:r>
    </w:p>
    <w:p>
      <w:pPr>
        <w:pStyle w:val="FirstParagraph"/>
      </w:pPr>
      <w:r>
        <w:t xml:space="preserve">根据现有照片，可以确认的实物包括外部承载骨架、弹匣形电池仓、圆柱锂电池组及保护板、主电源线与检测线束、管状执行总成、前端金属管和安装支架。由此可将系统抽象为电源与保护、输入与控制、电磁执行、激光输出以及结构定位五个功能层。</w:t>
      </w:r>
    </w:p>
    <w:p>
      <w:pPr>
        <w:pStyle w:val="BodyText"/>
      </w:pPr>
      <w:r>
        <w:drawing>
          <wp:inline>
            <wp:extent cx="4533900" cy="151842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1_syste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1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图1 系统总体能量与信号传递关系</w:t>
      </w:r>
    </w:p>
    <w:p>
      <w:pPr>
        <w:pStyle w:val="BodyText"/>
      </w:pPr>
      <w:r>
        <w:drawing>
          <wp:inline>
            <wp:extent cx="4533900" cy="143050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2_layou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3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图2 模型内部功能区二维布置示意图</w:t>
      </w:r>
    </w:p>
    <w:bookmarkEnd w:id="27"/>
    <w:bookmarkStart w:id="39" w:name="电磁执行模块理论模型"/>
    <w:p>
      <w:pPr>
        <w:pStyle w:val="Heading1"/>
      </w:pPr>
      <w:r>
        <w:t xml:space="preserve">3 电磁执行模块理论模型</w:t>
      </w:r>
    </w:p>
    <w:bookmarkStart w:id="31" w:name="结构组成与磁路模型"/>
    <w:p>
      <w:pPr>
        <w:pStyle w:val="Heading2"/>
      </w:pPr>
      <w:r>
        <w:t xml:space="preserve">3.1 结构组成与磁路模型</w:t>
      </w:r>
    </w:p>
    <w:p>
      <w:pPr>
        <w:pStyle w:val="FirstParagraph"/>
      </w:pPr>
      <w:r>
        <w:t xml:space="preserve">典型直线电磁铁由励磁线圈、固定铁芯、动铁芯或衔铁、磁轭、导向结构、工作气隙和复位弹簧组成。线圈通电后建立磁通，衔铁受到朝向磁阻减小方向的电磁力；当电磁力超过弹簧预紧、摩擦及外部负载后，衔铁开始运动。</w:t>
      </w:r>
    </w:p>
    <w:p>
      <w:pPr>
        <w:pStyle w:val="BodyText"/>
      </w:pPr>
      <w:r>
        <w:drawing>
          <wp:inline>
            <wp:extent cx="4267200" cy="195022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3_solenoi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图3 直线电磁铁结构与动作原理示意图</w:t>
      </w:r>
    </w:p>
    <w:p>
      <w:pPr>
        <w:pStyle w:val="BodyText"/>
      </w:pPr>
      <w:r>
        <w:t xml:space="preserve">对于由多个材料区段组成的简化磁路，总磁阻宜写成各段磁阻之和：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磁动势为</w:t>
      </w:r>
      <w:r>
        <w:t xml:space="preserve"> </w:t>
      </w:r>
      <m:oMath>
        <m:r>
          <m:t>N</m:t>
        </m:r>
        <m:r>
          <m:t>I</m:t>
        </m:r>
      </m:oMath>
      <w:r>
        <w:t xml:space="preserve"> </w:t>
      </w:r>
      <w:r>
        <w:t xml:space="preserve">时，忽略漏磁并假定磁通在主磁路中连续，则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</m:num>
            <m:den>
              <m:sSub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b>
                  <m:r>
                    <m:t>m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Φ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g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若气隙磁阻占主导，则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g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在气隙磁场近似均匀、边缘效应较小且铁磁材料未明显饱和时，气隙吸力可用 Maxwell 应力近似为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Sup>
                <m:e>
                  <m:r>
                    <m:t>B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式（5）主要用于趋势分析。实际电磁铁存在漏磁、边缘磁通、磁滞和饱和，应以实测力—位移数据或有限元结果修正。</w:t>
      </w:r>
    </w:p>
    <w:bookmarkEnd w:id="31"/>
    <w:bookmarkStart w:id="32" w:name="磁共能与位置相关电感"/>
    <w:p>
      <w:pPr>
        <w:pStyle w:val="Heading2"/>
      </w:pPr>
      <w:r>
        <w:t xml:space="preserve">3.2 磁共能与位置相关电感</w:t>
      </w:r>
    </w:p>
    <w:p>
      <w:pPr>
        <w:pStyle w:val="FirstParagraph"/>
      </w:pPr>
      <w:r>
        <w:t xml:space="preserve">更一般的电磁力可由磁共能表示：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在线性磁路近似下，若磁链满足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i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i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</w:p>
    <w:p>
      <w:pPr>
        <w:pStyle w:val="FirstParagraph"/>
      </w:pPr>
      <w:r>
        <w:t xml:space="preserve">若定义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朝气隙减小方向为正，则电磁力趋向于使系统电感增大；若坐标方向相反，力的符号应随坐标定义调整。</w:t>
      </w:r>
    </w:p>
    <w:bookmarkEnd w:id="32"/>
    <w:bookmarkStart w:id="33" w:name="线圈电气动态"/>
    <w:p>
      <w:pPr>
        <w:pStyle w:val="Heading2"/>
      </w:pPr>
      <w:r>
        <w:t xml:space="preserve">3.3 线圈电气动态</w:t>
      </w:r>
    </w:p>
    <w:p>
      <w:pPr>
        <w:pStyle w:val="FirstParagraph"/>
      </w:pPr>
      <w:r>
        <w:t xml:space="preserve">原有简单关系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t>i</m:t>
        </m:r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d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t</m:t>
        </m:r>
      </m:oMath>
      <w:r>
        <w:t xml:space="preserve"> </w:t>
      </w:r>
      <w:r>
        <w:t xml:space="preserve">只在位置固定且电感近似不变时成立。更一般的端电压关系应写为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若在某一工作区间近似取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i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rPr>
              <m:sty m:val="p"/>
            </m:rPr>
            <m:t>+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i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i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acc>
            <m:accPr>
              <m:chr m:val="̇"/>
            </m:accPr>
            <m:e>
              <m:r>
                <m:t>x</m:t>
              </m:r>
            </m:e>
          </m:acc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其中第三项表示衔铁运动引起的运动反电动势。只有在运动尚未开始或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近似常数时，才可简化为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i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</m:e>
          </m:d>
        </m:oMath>
      </m:oMathPara>
    </w:p>
    <w:p>
      <w:pPr>
        <w:pStyle w:val="FirstParagraph"/>
      </w:pPr>
      <w:r>
        <w:t xml:space="preserve">对于直流阶跃电压</w:t>
      </w:r>
      <w:r>
        <w:t xml:space="preserve"> </w:t>
      </w:r>
      <m:oMath>
        <m:r>
          <m:t>U</m:t>
        </m:r>
      </m:oMath>
      <w:r>
        <w:t xml:space="preserve">、初始电流为0的固定电感模型，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e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R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</m:oMath>
      </m:oMathPara>
    </w:p>
    <w:p>
      <w:pPr>
        <w:pStyle w:val="FirstParagraph"/>
      </w:pPr>
      <w:r>
        <w:t xml:space="preserve">其10%—90%电流上升时间为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90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ln</m:t>
          </m:r>
          <m:r>
            <m:t>9</m:t>
          </m:r>
          <m:r>
            <m:rPr>
              <m:sty m:val="p"/>
            </m:rPr>
            <m:t>≈</m:t>
          </m:r>
          <m:r>
            <m:t>2.197</m:t>
          </m:r>
          <m:sSub>
            <m:e>
              <m:r>
                <m:t>τ</m:t>
              </m:r>
            </m:e>
            <m:sub>
              <m:r>
                <m:t>e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</m:oMath>
      </m:oMathPara>
    </w:p>
    <w:bookmarkEnd w:id="33"/>
    <w:bookmarkStart w:id="34" w:name="机械运动模型"/>
    <w:p>
      <w:pPr>
        <w:pStyle w:val="Heading2"/>
      </w:pPr>
      <w:r>
        <w:t xml:space="preserve">3.4 机械运动模型</w:t>
      </w:r>
    </w:p>
    <w:p>
      <w:pPr>
        <w:pStyle w:val="FirstParagraph"/>
      </w:pPr>
      <w:r>
        <w:t xml:space="preserve">将动铁芯和连接件等效为单自由度系统，并分别考虑阻尼、复位弹簧、摩擦和外部负载，可写为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−</m:t>
          </m:r>
          <m:r>
            <m:t>c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14</m:t>
              </m:r>
            </m:e>
          </m:d>
        </m:oMath>
      </m:oMathPara>
    </w:p>
    <w:p>
      <w:pPr>
        <w:pStyle w:val="FirstParagraph"/>
      </w:pPr>
      <w:r>
        <w:t xml:space="preserve">该式适用于宏观位移阶段；若存在刚性碰撞或限位，需要增加接触模型或通过试验直接测量。</w:t>
      </w:r>
    </w:p>
    <w:bookmarkEnd w:id="34"/>
    <w:bookmarkStart w:id="38" w:name="铜耗温升与驱动保护"/>
    <w:p>
      <w:pPr>
        <w:pStyle w:val="Heading2"/>
      </w:pPr>
      <w:r>
        <w:t xml:space="preserve">3.5 铜耗、温升与驱动保护</w:t>
      </w:r>
    </w:p>
    <w:p>
      <w:pPr>
        <w:pStyle w:val="FirstParagraph"/>
      </w:pPr>
      <w:r>
        <w:t xml:space="preserve">对于脉冲或周期电流，线圈铜耗应采用有效值：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</m:oMath>
      </m:oMathPara>
    </w:p>
    <w:p>
      <w:pPr>
        <w:pStyle w:val="FirstParagraph"/>
      </w:pPr>
      <w:r>
        <w:t xml:space="preserve">铜电阻随温度的变化可近似写为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u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16</m:t>
              </m:r>
            </m:e>
          </m:d>
        </m:oMath>
      </m:oMathPara>
    </w:p>
    <w:p>
      <w:pPr>
        <w:pStyle w:val="FirstParagraph"/>
      </w:pPr>
      <w:r>
        <w:t xml:space="preserve">若采用一阶集中参数热模型，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θ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T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17</m:t>
              </m:r>
            </m:e>
          </m:d>
        </m:oMath>
      </m:oMathPara>
    </w:p>
    <w:p>
      <w:pPr>
        <w:pStyle w:val="FirstParagraph"/>
      </w:pPr>
      <w:r>
        <w:t xml:space="preserve">稳态温升近似为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18</m:t>
              </m:r>
            </m:e>
          </m:d>
        </m:oMath>
      </m:oMathPara>
    </w:p>
    <w:p>
      <w:pPr>
        <w:pStyle w:val="FirstParagraph"/>
      </w:pPr>
      <w:r>
        <w:t xml:space="preserve">MOSFET 驱动感性线圈时需要设置续流二极管、TVS 或其他钳位支路，以限制关断时的感应电压。</w:t>
      </w:r>
    </w:p>
    <w:p>
      <w:pPr>
        <w:pStyle w:val="BodyText"/>
      </w:pPr>
      <w:r>
        <w:drawing>
          <wp:inline>
            <wp:extent cx="4160520" cy="181207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4_driv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81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图4 电磁线圈 MOSFET 驱动与续流/钳位保护示意图</w:t>
      </w:r>
    </w:p>
    <w:bookmarkEnd w:id="38"/>
    <w:bookmarkEnd w:id="39"/>
    <w:bookmarkStart w:id="49" w:name="激光模块理论模型"/>
    <w:p>
      <w:pPr>
        <w:pStyle w:val="Heading1"/>
      </w:pPr>
      <w:r>
        <w:t xml:space="preserve">4 激光模块理论模型</w:t>
      </w:r>
    </w:p>
    <w:bookmarkStart w:id="43" w:name="结构与电光转换"/>
    <w:p>
      <w:pPr>
        <w:pStyle w:val="Heading2"/>
      </w:pPr>
      <w:r>
        <w:t xml:space="preserve">4.1 结构与电光转换</w:t>
      </w:r>
    </w:p>
    <w:p>
      <w:pPr>
        <w:pStyle w:val="FirstParagraph"/>
      </w:pPr>
      <w:r>
        <w:t xml:space="preserve">半导体激光模块通常由激光二极管、恒流驱动器、准直/整形透镜、安装座和出光窗口组成。国内关于半导体激光准直和束散角测试的研究表明，激光二极管快、慢轴发散特性明显不同，工程上常借助非球面透镜或多片光学系统进行准直[11-13]；器件物理和光束传播可参考专业著作及相关理论研究[14-16]。</w:t>
      </w:r>
    </w:p>
    <w:p>
      <w:pPr>
        <w:pStyle w:val="BodyText"/>
      </w:pPr>
      <w:r>
        <w:drawing>
          <wp:inline>
            <wp:extent cx="4373880" cy="159091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5_las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9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图5 激光二极管模块及准直光路示意图</w:t>
      </w:r>
    </w:p>
    <w:p>
      <w:pPr>
        <w:pStyle w:val="BodyText"/>
      </w:pPr>
      <w:r>
        <w:t xml:space="preserve">在阈值以上且工作区间不太宽时，输出光功率可作线性近似：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η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&gt;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h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19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η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sSub>
          <m:e>
            <m:r>
              <m:t>P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I</m:t>
        </m:r>
      </m:oMath>
      <w:r>
        <w:t xml:space="preserve"> </w:t>
      </w:r>
      <w:r>
        <w:t xml:space="preserve">为斜率效率，常用单位为 W/A，并非无量纲效率。电光转换效率可定义为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e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t>I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20</m:t>
              </m:r>
            </m:e>
          </m:d>
        </m:oMath>
      </m:oMathPara>
    </w:p>
    <w:bookmarkEnd w:id="43"/>
    <w:bookmarkStart w:id="47" w:name="高斯光束传播"/>
    <w:p>
      <w:pPr>
        <w:pStyle w:val="Heading2"/>
      </w:pPr>
      <w:r>
        <w:t xml:space="preserve">4.2 高斯光束传播</w:t>
      </w:r>
    </w:p>
    <w:p>
      <w:pPr>
        <w:pStyle w:val="FirstParagraph"/>
      </w:pPr>
      <w:r>
        <w:t xml:space="preserve">在近轴、基模高斯光束近似下，束腰位于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处时，1/e² 光强半径为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w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λ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22</m:t>
              </m:r>
            </m:e>
          </m:d>
        </m:oMath>
      </m:oMathPara>
    </w:p>
    <w:p>
      <w:pPr>
        <w:pStyle w:val="FirstParagraph"/>
      </w:pPr>
      <w:r>
        <w:t xml:space="preserve">理想高斯光束的远场半发散角为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π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23</m:t>
              </m:r>
            </m:e>
          </m:d>
        </m:oMath>
      </m:oMathPara>
    </w:p>
    <w:p>
      <w:pPr>
        <w:pStyle w:val="FirstParagraph"/>
      </w:pPr>
      <w:r>
        <w:t xml:space="preserve">对于实际非理想光束，可引入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因子：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λ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t>π</m:t>
                          </m:r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λ</m:t>
              </m:r>
            </m:num>
            <m:den>
              <m:r>
                <m:t>π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25</m:t>
              </m:r>
            </m:e>
          </m:d>
        </m:oMath>
      </m:oMathPara>
    </w:p>
    <w:p>
      <w:pPr>
        <w:pStyle w:val="FirstParagraph"/>
      </w:pPr>
      <w:r>
        <w:t xml:space="preserve">若使用 1/e² 光强直径，则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26</m:t>
              </m:r>
            </m:e>
          </m:d>
        </m:oMath>
      </m:oMathPara>
    </w:p>
    <w:p>
      <w:pPr>
        <w:pStyle w:val="FirstParagraph"/>
      </w:pPr>
      <w:r>
        <w:drawing>
          <wp:inline>
            <wp:extent cx="3733800" cy="138553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runner/work/codex-test/codex-test/artifacts/native_equation_assets/fig06_gaussia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5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图6 高斯光束束腰与远场发散示意图</w:t>
      </w:r>
    </w:p>
    <w:p>
      <w:pPr>
        <w:pStyle w:val="BodyText"/>
      </w:pPr>
      <w:r>
        <w:t xml:space="preserve">ISO 11146 使用二阶矩方法定义光束宽度、发散角和光束传播比。正式测试时不应把几何光斑直径与标准二阶矩光束宽度混用[17]。</w:t>
      </w:r>
    </w:p>
    <w:bookmarkEnd w:id="47"/>
    <w:bookmarkStart w:id="48" w:name="光轴偏差与两点估算"/>
    <w:p>
      <w:pPr>
        <w:pStyle w:val="Heading2"/>
      </w:pPr>
      <w:r>
        <w:t xml:space="preserve">4.3 光轴偏差与两点估算</w:t>
      </w:r>
    </w:p>
    <w:p>
      <w:pPr>
        <w:pStyle w:val="FirstParagraph"/>
      </w:pPr>
      <w:r>
        <w:t xml:space="preserve">若距离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处光斑中心相对机械基准轴横向偏移</w:t>
      </w:r>
      <w:r>
        <w:t xml:space="preserve"> </w:t>
      </w:r>
      <m:oMath>
        <m:r>
          <m:t>Δ</m:t>
        </m:r>
        <m:r>
          <m:t>y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  <m:r>
                    <m:t>y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Δ</m:t>
              </m:r>
              <m:r>
                <m:t>y</m:t>
              </m:r>
            </m:num>
            <m:den>
              <m:r>
                <m:t>L</m:t>
              </m:r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≪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27</m:t>
              </m:r>
            </m:e>
          </m:d>
        </m:oMath>
      </m:oMathPara>
    </w:p>
    <w:p>
      <w:pPr>
        <w:pStyle w:val="FirstParagraph"/>
      </w:pPr>
      <w:r>
        <w:t xml:space="preserve">工程上宜用 rad 或 mrad 表示指向误差，不建议将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直接称为“相对指向偏差”。</w:t>
      </w:r>
    </w:p>
    <w:p>
      <w:pPr>
        <w:pStyle w:val="BodyText"/>
      </w:pPr>
      <w:r>
        <w:t xml:space="preserve">在远场线性近似下，利用两个截面的光斑直径估算全角发散角</w:t>
      </w:r>
      <w:r>
        <w:t xml:space="preserve"> </w:t>
      </w:r>
      <m:oMath>
        <m:r>
          <m:t>Θ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28</m:t>
              </m:r>
            </m:e>
          </m:d>
        </m:oMath>
      </m:oMathPara>
    </w:p>
    <w:p>
      <w:pPr>
        <w:pStyle w:val="FirstParagraph"/>
      </w:pPr>
      <w:r>
        <w:t xml:space="preserve">该两点法不适用于束腰附近；规范的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和发散角测试应采用多截面拟合并参考 ISO 11146[17]。</w:t>
      </w:r>
    </w:p>
    <w:bookmarkEnd w:id="48"/>
    <w:bookmarkEnd w:id="49"/>
    <w:bookmarkStart w:id="50" w:name="电磁激光协同工作链路"/>
    <w:p>
      <w:pPr>
        <w:pStyle w:val="Heading1"/>
      </w:pPr>
      <w:r>
        <w:t xml:space="preserve">5 电磁—激光协同工作链路</w:t>
      </w:r>
    </w:p>
    <w:p>
      <w:pPr>
        <w:pStyle w:val="FirstParagraph"/>
      </w:pPr>
      <w:r>
        <w:t xml:space="preserve">从控制逻辑上，电磁支路与激光支路通常是并行输出，不宜把两支路的所有延迟简单相加为一个统一响应时间。可分别定义机械反馈延迟与激光输出延迟：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t</m:t>
              </m:r>
              <m:r>
                <m:t>r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a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t</m:t>
              </m:r>
              <m:r>
                <m:t>r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</m:oMath>
      </m:oMathPara>
    </w:p>
    <w:p>
      <w:pPr>
        <w:pStyle w:val="FirstParagraph"/>
      </w:pPr>
      <w:r>
        <w:t xml:space="preserve">两种反馈之间的同步误差为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a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m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31</m:t>
              </m:r>
            </m:e>
          </m:d>
        </m:oMath>
      </m:oMathPara>
    </w:p>
    <w:bookmarkEnd w:id="50"/>
    <w:bookmarkStart w:id="51" w:name="测试与验证方法"/>
    <w:p>
      <w:pPr>
        <w:pStyle w:val="Heading1"/>
      </w:pPr>
      <w:r>
        <w:t xml:space="preserve">6 测试与验证方法</w:t>
      </w:r>
    </w:p>
    <w:p>
      <w:pPr>
        <w:pStyle w:val="FirstParagraph"/>
      </w:pPr>
      <w:r>
        <w:t xml:space="preserve">为验证上述功能性模型，可在确认接口与额定参数后，同步采集扳机信号、线圈电流、外部可观测位移/振动以及激光输出信号。</w:t>
      </w:r>
    </w:p>
    <w:p>
      <w:pPr>
        <w:pStyle w:val="BodyText"/>
      </w:pPr>
      <w:r>
        <w:t xml:space="preserve">电流或位移的10%—90%上升时间定义为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90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90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10</m:t>
              </m:r>
              <m:r>
                <m:rPr>
                  <m:sty m:val="p"/>
                </m:rPr>
                <m:t>%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32</m:t>
              </m:r>
            </m:e>
          </m:d>
        </m:oMath>
      </m:oMathPara>
    </w:p>
    <w:p>
      <w:pPr>
        <w:pStyle w:val="FirstParagraph"/>
      </w:pPr>
      <w:r>
        <w:t xml:space="preserve">有效行程内平均速度为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Δ</m:t>
              </m:r>
              <m:r>
                <m:t>t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33</m:t>
              </m:r>
            </m:e>
          </m:d>
        </m:oMath>
      </m:oMathPara>
    </w:p>
    <w:p>
      <w:pPr>
        <w:pStyle w:val="FirstParagraph"/>
      </w:pPr>
      <w:r>
        <w:t xml:space="preserve">一次触发窗口内的电输入能量为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u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34</m:t>
              </m:r>
            </m:e>
          </m:d>
        </m:oMath>
      </m:oMathPara>
    </w:p>
    <w:p>
      <w:pPr>
        <w:pStyle w:val="FirstParagraph"/>
      </w:pPr>
      <w:r>
        <w:t xml:space="preserve">多次指向测试可用平均指向角与样本标准差评价重复性：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α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α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36</m:t>
              </m:r>
            </m:e>
          </m:d>
        </m:oMath>
      </m:oMathPara>
    </w:p>
    <w:bookmarkEnd w:id="51"/>
    <w:bookmarkStart w:id="52" w:name="结论"/>
    <w:p>
      <w:pPr>
        <w:pStyle w:val="Heading1"/>
      </w:pPr>
      <w:r>
        <w:t xml:space="preserve">7 结论</w:t>
      </w:r>
    </w:p>
    <w:p>
      <w:pPr>
        <w:pStyle w:val="FirstParagraph"/>
      </w:pPr>
      <w:r>
        <w:t xml:space="preserve">本文对原有电磁与激光公式进行了系统校核。主要修正包括：用分段磁阻与磁共能表达替代过度简化的平均磁路描述；在线圈电压方程中补充位置相关电感引起的运动反电动势；明确 RL 阶跃公式只适用于固定位置和近似恒定电感条件；使用</w:t>
      </w:r>
      <w:r>
        <w:t xml:space="preserve"> </w:t>
      </w:r>
      <m:oMath>
        <m:sSubSup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  <m:sup>
            <m:r>
              <m:t>2</m:t>
            </m:r>
          </m:sup>
        </m:sSubSup>
        <m:r>
          <m:t>R</m:t>
        </m:r>
      </m:oMath>
      <w:r>
        <w:t xml:space="preserve"> </w:t>
      </w:r>
      <w:r>
        <w:t xml:space="preserve">描述周期电流铜耗并补充一阶热模型；在激光部分区分理想高斯光束与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修正模型；将原“相对指向偏差百分比”改为更规范的角度误差</w:t>
      </w:r>
      <w:r>
        <w:t xml:space="preserve"> </w:t>
      </w:r>
      <m:oMath>
        <m:r>
          <m:t>α</m:t>
        </m:r>
      </m:oMath>
      <w:r>
        <w:t xml:space="preserve">；同时将电磁与激光两条并行支路分别建模。</w:t>
      </w:r>
    </w:p>
    <w:bookmarkEnd w:id="52"/>
    <w:bookmarkStart w:id="53" w:name="参考文献"/>
    <w:p>
      <w:pPr>
        <w:pStyle w:val="Heading1"/>
      </w:pPr>
      <w:r>
        <w:t xml:space="preserve">参考文献</w:t>
      </w:r>
    </w:p>
    <w:p>
      <w:pPr>
        <w:pStyle w:val="FirstParagraph"/>
      </w:pPr>
      <w:r>
        <w:t xml:space="preserve">[1] 王淑红, 肖旭亮, 熊光煜. 直流恒力电磁铁特性[J]. 机械工程学报, 2008, 44(2): 244-247.</w:t>
      </w:r>
      <w:r>
        <w:br/>
      </w:r>
      <w:r>
        <w:t xml:space="preserve">[2] 赵建辉, 周勇, 石勇, 等. 共轨喷油器高速电磁阀动态响应试验研究[J]. 哈尔滨工程大学学报, 2018, 39(1): 74-79. DOI:10.11990/jheu.201611063.</w:t>
      </w:r>
      <w:r>
        <w:br/>
      </w:r>
      <w:r>
        <w:t xml:space="preserve">[3] 赵建辉, 陈文菲, 杨贵春, 陈敬炎. 高速电磁阀能量分布和动态响应耦合关系仿真[J]. 西南交通大学学报, 2024, 59(6): 1398-1405. DOI:10.3969/j.issn.0258-2724.20220452.</w:t>
      </w:r>
      <w:r>
        <w:br/>
      </w:r>
      <w:r>
        <w:t xml:space="preserve">[4] 李英杰, 陈川, 张瑜, 等. 电磁铁传热特性及散热优化的数值模拟[J]. 重庆大学学报, 2024, 47(5): 24-36. DOI:10.11835/j.issn.1000.582X.2024.05.005.</w:t>
      </w:r>
      <w:r>
        <w:br/>
      </w:r>
      <w:r>
        <w:t xml:space="preserve">[5] 孙雷强, 庄劲武, 王冲, 等. 基于联合仿真的断路器合闸电磁铁的动态特性研究[J]. 电气工程学报, 2023, 18(1): 104-110. DOI:10.11985/2023.01.011.</w:t>
      </w:r>
      <w:r>
        <w:br/>
      </w:r>
      <w:r>
        <w:t xml:space="preserve">[6] XU Y, JONES B. A simple means of predicting the dynamic response of electromagnetic actuators[J]. Mechatronics, 1997, 7(7): 589-598. DOI:10.1016/S0957-4158(97)00028-7.</w:t>
      </w:r>
      <w:r>
        <w:br/>
      </w:r>
      <w:r>
        <w:t xml:space="preserve">[7] LIU Q, BO H, QIN B. Experimental study and numerical analysis on electromagnetic force of direct action solenoid valve[J]. Nuclear Engineering and Design, 2010, 240(12): 4031-4036. DOI:10.1016/j.nucengdes.2010.09.028.</w:t>
      </w:r>
      <w:r>
        <w:br/>
      </w:r>
      <w:r>
        <w:t xml:space="preserve">[8] ZHAO J, WANG M, WANG Z, et al. Different boost voltage effects on the dynamic response and energy losses of high-speed solenoid valves[J]. Applied Thermal Engineering, 2017, 123: 1494-1503. DOI:10.1016/j.applthermaleng.2017.05.117.</w:t>
      </w:r>
      <w:r>
        <w:br/>
      </w:r>
      <w:r>
        <w:t xml:space="preserve">[9] LIU P, ZHANG R, ZHAO Q, PENG S. Eddy Effect and Dynamic Response of High-Speed Solenoid Valve with Composite Iron Core[J]. Materials, 2023, 16(17): 5823. DOI:10.3390/ma16175823.</w:t>
      </w:r>
      <w:r>
        <w:br/>
      </w:r>
      <w:r>
        <w:t xml:space="preserve">[10] GEEPLUS. Push-Pull Solenoids[EB/OL]. https://www.geeplus.com/push-pull-solenoids/.</w:t>
      </w:r>
      <w:r>
        <w:br/>
      </w:r>
      <w:r>
        <w:t xml:space="preserve">[11] 谭佐军, 薛松, 康竟然, 陈海清. 激光引信中半导体激光器的准直及其测试[J]. 应用光学, 2007, 28(4): 454-457.</w:t>
      </w:r>
      <w:r>
        <w:br/>
      </w:r>
      <w:r>
        <w:t xml:space="preserve">[12] 聂建华, 王峻宁. 基于ZEMAX的半导体激光准直镜设计方法研究[J]. 红外, 2012, 33(3): 22-26.</w:t>
      </w:r>
      <w:r>
        <w:br/>
      </w:r>
      <w:r>
        <w:t xml:space="preserve">[13] 段园园, 吉晓, 阴万宏, 等. 一种大功率宽波段激光束散角的校准测试方法[J]. 应用光学, 2023, 44(2): 450-455. DOI:10.5768/JAO202344.0207004.</w:t>
      </w:r>
      <w:r>
        <w:br/>
      </w:r>
      <w:r>
        <w:t xml:space="preserve">[14] COLDREN L A, CORZINE S W, MASHANOVITCH M L. Diode Lasers and Photonic Integrated Circuits[M]. 2nd ed. Hoboken: Wiley, 2012. DOI:10.1002/9781118148167.</w:t>
      </w:r>
      <w:r>
        <w:br/>
      </w:r>
      <w:r>
        <w:t xml:space="preserve">[15] XU Q, HAN Y, CUI Z. Characteristic of laser diode beam propagation through a collimating lens[J]. Applied Optics, 2010, 49(3): 549-553. DOI:10.1364/AO.49.000549.</w:t>
      </w:r>
      <w:r>
        <w:br/>
      </w:r>
      <w:r>
        <w:t xml:space="preserve">[16] KOGELNIK H, LI T. Laser beams and resonators[J]. Applied Optics, 1966, 5(10): 1550-1567. DOI:10.1364/AO.5.001550.</w:t>
      </w:r>
      <w:r>
        <w:br/>
      </w:r>
      <w:r>
        <w:t xml:space="preserve">[17] ISO. ISO 11146-1:2021 Lasers and laser-related equipment—Test methods for laser beam widths, divergence angles and beam propagation ratios—Part 1: Stigmatic and simple astigmatic beams[S]. Geneva: ISO, 2021.</w:t>
      </w:r>
      <w:r>
        <w:br/>
      </w:r>
      <w:r>
        <w:t xml:space="preserve">[18] COHERENT CORP. Diode Laser Modules[EB/OL]. https://www.coherent.com/lasers/diode-modules.</w:t>
      </w:r>
      <w:r>
        <w:br/>
      </w:r>
      <w:r>
        <w:t xml:space="preserve">[19] 国家市场监督管理总局, 国家标准化管理委员会. GB/T 7247.1-2024 激光产品的安全 第1部分：设备分类和要求[S]. 北京: 中国标准出版社, 2024.</w:t>
      </w:r>
      <w:r>
        <w:br/>
      </w:r>
      <w:r>
        <w:t xml:space="preserve">[20] 国家市场监督管理总局, 国家标准化管理委员会. GB 31241-2022 便携式电子产品用锂离子电池和电池组 安全技术规范[S]. 北京: 中国标准出版社, 2022.</w:t>
      </w:r>
    </w:p>
    <w:bookmarkEnd w:id="53"/>
    <w:sectPr>
      <w:pgMar w:top="1361" w:bottom="1304" w:left="1474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0" Type="http://schemas.openxmlformats.org/officeDocument/2006/relationships/image" Target="media/rId40.png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95式电磁—激光仿真训练模型关键模块结构与工作原理分析</dc:title>
  <dc:creator/>
  <dc:language>zh-CN</dc:language>
  <cp:keywords/>
  <dcterms:created xsi:type="dcterms:W3CDTF">2026-08-25T08:27:01Z</dcterms:created>
  <dcterms:modified xsi:type="dcterms:W3CDTF">2026-08-25T08:27:01Z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