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1"/>
        </w:numPr>
      </w:pPr>
      <w:r>
        <w:t>BWA-PART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1"/>
        </w:numPr>
      </w:pPr>
      <w:r>
        <w:t>BWA-PART2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"/>
      <w:lvlJc w:val="left"/>
      <w:pPr>
        <w:ind w:left="720" w:hanging="360"/>
      </w:pPr>
    </w:lvl>
    <w:lvl w:ilvl="1">
      <w:numFmt w:val="decimal"/>
      <w:lvlText w:val="%1.%2."/>
      <w:lvlJc w:val="left"/>
      <w:pPr>
        <w:ind w:left="1440" w:hanging="360"/>
      </w:pPr>
    </w:lvl>
    <w:lvl w:ilvl="2">
      <w:numFmt w:val="lowerLetter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lowerLetter"/>
      <w:lvlText w:val="%5."/>
      <w:lvlJc w:val="left"/>
      <w:pPr>
        <w:ind w:left="3600" w:hanging="360"/>
      </w:pPr>
    </w:lvl>
    <w:lvl w:ilvl="5">
      <w:numFmt w:val="lowerRoman"/>
      <w:lvlText w:val="%6."/>
      <w:lvlJc w:val="left"/>
      <w:pPr>
        <w:ind w:left="43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