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28" w:rsidRDefault="003D578F" w:rsidP="008A1228">
      <w:pPr>
        <w:pStyle w:val="Title"/>
      </w:pPr>
      <w:r>
        <w:t>Extending the GBIF Integrated Publishing Toolki</w:t>
      </w:r>
      <w:r w:rsidR="00397CEF">
        <w:t>t</w:t>
      </w:r>
      <w:r w:rsidR="00770323">
        <w:t xml:space="preserve"> for sample data</w:t>
      </w:r>
      <w:bookmarkStart w:id="0" w:name="_Toc381697625"/>
    </w:p>
    <w:p w:rsidR="008D5E20" w:rsidRDefault="008D5E20" w:rsidP="008A1228">
      <w:pPr>
        <w:pStyle w:val="Heading1"/>
        <w:rPr>
          <w:rFonts w:asciiTheme="minorHAnsi" w:hAnsiTheme="minorHAnsi"/>
          <w:b w:val="0"/>
          <w:color w:val="auto"/>
          <w:sz w:val="22"/>
          <w:szCs w:val="22"/>
        </w:rPr>
      </w:pPr>
      <w:r w:rsidRPr="00875DCA">
        <w:rPr>
          <w:rFonts w:asciiTheme="minorHAnsi" w:hAnsiTheme="minorHAnsi"/>
          <w:b w:val="0"/>
          <w:color w:val="auto"/>
          <w:sz w:val="22"/>
          <w:szCs w:val="22"/>
        </w:rPr>
        <w:t>Éamonn Ó Tuama, GBIF Secretariat</w:t>
      </w:r>
    </w:p>
    <w:p w:rsidR="002047B7" w:rsidRPr="002047B7" w:rsidRDefault="002047B7" w:rsidP="002047B7"/>
    <w:p w:rsidR="002047B7" w:rsidRPr="00E07935" w:rsidRDefault="002047B7" w:rsidP="002047B7">
      <w:pPr>
        <w:ind w:left="567" w:right="804"/>
        <w:rPr>
          <w:rFonts w:eastAsia="Times New Roman"/>
          <w:b/>
          <w:i/>
          <w:color w:val="1F497D" w:themeColor="text2"/>
        </w:rPr>
      </w:pPr>
      <w:r w:rsidRPr="00E07935">
        <w:rPr>
          <w:b/>
          <w:i/>
          <w:color w:val="1F497D" w:themeColor="text2"/>
        </w:rPr>
        <w:t xml:space="preserve">Please note that </w:t>
      </w:r>
      <w:r w:rsidRPr="00E07935">
        <w:rPr>
          <w:rFonts w:eastAsia="Times New Roman"/>
          <w:b/>
          <w:i/>
          <w:color w:val="1F497D" w:themeColor="text2"/>
        </w:rPr>
        <w:t>the modifications proposed here to Darwin Core and the IPT are experimental: all changes will need to undergo acceptance testing and ratification.</w:t>
      </w:r>
    </w:p>
    <w:p w:rsidR="00BF53B8" w:rsidRDefault="00BF53B8" w:rsidP="008A1228">
      <w:pPr>
        <w:pStyle w:val="Heading1"/>
      </w:pPr>
      <w:r>
        <w:t>Introduction</w:t>
      </w:r>
      <w:bookmarkEnd w:id="0"/>
    </w:p>
    <w:p w:rsidR="00BF53B8" w:rsidRPr="00BF53B8" w:rsidRDefault="00BF53B8" w:rsidP="00BF53B8">
      <w:r>
        <w:t>This document scopes the requirements for extending Darwin Core</w:t>
      </w:r>
      <w:r w:rsidR="00B242BC">
        <w:t xml:space="preserve"> (DwC)</w:t>
      </w:r>
      <w:r>
        <w:t xml:space="preserve"> for publishing sample-based data </w:t>
      </w:r>
      <w:r w:rsidR="008A1228">
        <w:t xml:space="preserve">using the GBIF Integrated Publishing Toolkit (IPT). </w:t>
      </w:r>
      <w:r w:rsidR="00BD0A4F">
        <w:t xml:space="preserve"> The driving </w:t>
      </w:r>
      <w:proofErr w:type="gramStart"/>
      <w:r w:rsidR="00BD0A4F">
        <w:t>context are</w:t>
      </w:r>
      <w:proofErr w:type="gramEnd"/>
      <w:r w:rsidR="00BD0A4F">
        <w:t xml:space="preserve"> the tasks within the GBIF 2014 work programme “demonstration of mobilization of sample-based data through the GBIF network” and the EU BON project “tools for data sharing”.</w:t>
      </w:r>
    </w:p>
    <w:p w:rsidR="00A55C92" w:rsidRDefault="00A55C92" w:rsidP="00A55C92">
      <w:pPr>
        <w:pStyle w:val="Heading1"/>
      </w:pPr>
      <w:bookmarkStart w:id="1" w:name="_Toc381697626"/>
      <w:r>
        <w:t>Abundance</w:t>
      </w:r>
      <w:bookmarkEnd w:id="1"/>
    </w:p>
    <w:p w:rsidR="00A55C92" w:rsidRDefault="00A55C92" w:rsidP="00A55C92">
      <w:r>
        <w:t>Following the outcomes of the GBIF workshop</w:t>
      </w:r>
      <w:r>
        <w:rPr>
          <w:rStyle w:val="FootnoteReference"/>
        </w:rPr>
        <w:footnoteReference w:id="1"/>
      </w:r>
      <w:r>
        <w:t xml:space="preserve"> on extending DwC for sample-based data, </w:t>
      </w:r>
      <w:proofErr w:type="gramStart"/>
      <w:r>
        <w:t>a new</w:t>
      </w:r>
      <w:proofErr w:type="gramEnd"/>
      <w:r>
        <w:t xml:space="preserve"> term “abundance” was proposed for discussion by the community on the TDWG mailing list.  Abundance was defined as “</w:t>
      </w:r>
      <w:r w:rsidRPr="00BF53B8">
        <w:rPr>
          <w:i/>
        </w:rPr>
        <w:t>The number of individuals of a taxon found in a sample. This is typically expressed as number per unit of area or volume</w:t>
      </w:r>
      <w:r>
        <w:t>”. The term was meant to reflect</w:t>
      </w:r>
      <w:r w:rsidR="0025525D">
        <w:t>, at least in part,</w:t>
      </w:r>
      <w:r>
        <w:t xml:space="preserve"> the </w:t>
      </w:r>
      <w:r w:rsidR="00DA7552">
        <w:t>definition</w:t>
      </w:r>
      <w:r>
        <w:t xml:space="preserve"> used by GEO BON in its work on Essential Biodiversity Variables – “</w:t>
      </w:r>
      <w:r w:rsidRPr="00BF53B8">
        <w:rPr>
          <w:i/>
        </w:rPr>
        <w:t>quantity of individuals or biomass of a given taxon or functional group at a given location</w:t>
      </w:r>
      <w:r>
        <w:t xml:space="preserve">”.  Abundance is typically measured by taking a sample of </w:t>
      </w:r>
      <w:r w:rsidR="00DA7552">
        <w:t>a</w:t>
      </w:r>
      <w:r>
        <w:t xml:space="preserve"> population and it is assumed that a sample has a particular context (time, place, protocol).</w:t>
      </w:r>
    </w:p>
    <w:p w:rsidR="005251B5" w:rsidRDefault="00DA7552" w:rsidP="00447970">
      <w:r>
        <w:t xml:space="preserve">However, in the ensuing discussions on the TDWG list, it became obvious that </w:t>
      </w:r>
      <w:r w:rsidR="00615A49">
        <w:t xml:space="preserve">the term was the cause of confusion and that it is better not to conflate </w:t>
      </w:r>
      <w:r>
        <w:t>the concept of abundance</w:t>
      </w:r>
      <w:r w:rsidR="00615A49">
        <w:t xml:space="preserve"> a</w:t>
      </w:r>
      <w:r>
        <w:t xml:space="preserve">s normally used </w:t>
      </w:r>
      <w:r w:rsidR="00615A49">
        <w:t xml:space="preserve">by ecologists </w:t>
      </w:r>
      <w:r>
        <w:t xml:space="preserve">to describe the absolute or relative </w:t>
      </w:r>
      <w:r w:rsidR="00615A49">
        <w:t>presence of a taxon in a</w:t>
      </w:r>
      <w:r w:rsidR="00BF53B8">
        <w:t>n</w:t>
      </w:r>
      <w:r w:rsidR="00615A49">
        <w:t xml:space="preserve"> ecosystem with the raw numbers in the sample data that are used to derive the abundance.</w:t>
      </w:r>
      <w:r w:rsidR="0025525D">
        <w:t xml:space="preserve">  The aim in </w:t>
      </w:r>
      <w:r w:rsidR="00B242BC">
        <w:t>DwC</w:t>
      </w:r>
      <w:r w:rsidR="0025525D">
        <w:t xml:space="preserve"> should be to report the quantities and their types in a sample and let a measure of abundance be derived from those as a separate exercise</w:t>
      </w:r>
      <w:r w:rsidR="0043795B">
        <w:t>.</w:t>
      </w:r>
    </w:p>
    <w:p w:rsidR="00934824" w:rsidRDefault="00934824" w:rsidP="0087520C">
      <w:pPr>
        <w:pStyle w:val="Heading1"/>
      </w:pPr>
      <w:bookmarkStart w:id="2" w:name="_Toc381697627"/>
      <w:r>
        <w:t>What is sample-based data?</w:t>
      </w:r>
      <w:bookmarkEnd w:id="2"/>
    </w:p>
    <w:p w:rsidR="00934824" w:rsidRDefault="00934824" w:rsidP="00770323">
      <w:r w:rsidRPr="00934824">
        <w:rPr>
          <w:rFonts w:eastAsia="Times New Roman"/>
          <w:iCs/>
        </w:rPr>
        <w:t>Sample-based data is</w:t>
      </w:r>
      <w:r>
        <w:rPr>
          <w:rFonts w:eastAsia="Times New Roman"/>
          <w:iCs/>
        </w:rPr>
        <w:t xml:space="preserve"> a type of data</w:t>
      </w:r>
      <w:r w:rsidRPr="00934824">
        <w:rPr>
          <w:rFonts w:eastAsia="Times New Roman"/>
          <w:iCs/>
        </w:rPr>
        <w:t xml:space="preserve"> available from thousands of environmental, ecological, and natural resource </w:t>
      </w:r>
      <w:r>
        <w:rPr>
          <w:rFonts w:eastAsia="Times New Roman"/>
          <w:iCs/>
        </w:rPr>
        <w:t>investigations</w:t>
      </w:r>
      <w:r w:rsidRPr="00934824">
        <w:rPr>
          <w:rFonts w:eastAsia="Times New Roman"/>
          <w:iCs/>
        </w:rPr>
        <w:t>.</w:t>
      </w:r>
      <w:r>
        <w:rPr>
          <w:rFonts w:eastAsia="Times New Roman"/>
          <w:iCs/>
        </w:rPr>
        <w:t xml:space="preserve"> These can be</w:t>
      </w:r>
      <w:r w:rsidR="00ED737F">
        <w:rPr>
          <w:rFonts w:eastAsia="Times New Roman"/>
          <w:iCs/>
        </w:rPr>
        <w:t xml:space="preserve"> </w:t>
      </w:r>
      <w:r>
        <w:rPr>
          <w:rFonts w:eastAsia="Times New Roman"/>
          <w:iCs/>
        </w:rPr>
        <w:t xml:space="preserve">one-off studies or monitoring programmes. </w:t>
      </w:r>
      <w:r w:rsidRPr="00934824">
        <w:rPr>
          <w:rFonts w:eastAsia="Times New Roman"/>
          <w:iCs/>
        </w:rPr>
        <w:t xml:space="preserve">Such data </w:t>
      </w:r>
      <w:r>
        <w:rPr>
          <w:rFonts w:eastAsia="Times New Roman"/>
          <w:iCs/>
        </w:rPr>
        <w:t>are</w:t>
      </w:r>
      <w:r w:rsidRPr="00934824">
        <w:rPr>
          <w:rFonts w:eastAsia="Times New Roman"/>
          <w:iCs/>
        </w:rPr>
        <w:t xml:space="preserve"> usually quantitative, calibrated, and follow certain protocols, so that changes and trends of populations can be detected.  This is in contrast to opportunistic observation and collection data, </w:t>
      </w:r>
      <w:r w:rsidRPr="00934824">
        <w:rPr>
          <w:rFonts w:eastAsia="Times New Roman"/>
          <w:iCs/>
        </w:rPr>
        <w:lastRenderedPageBreak/>
        <w:t xml:space="preserve">which </w:t>
      </w:r>
      <w:r w:rsidR="00ED737F">
        <w:rPr>
          <w:rFonts w:eastAsia="Times New Roman"/>
          <w:iCs/>
        </w:rPr>
        <w:t>today</w:t>
      </w:r>
      <w:r w:rsidR="0043795B">
        <w:rPr>
          <w:rFonts w:eastAsia="Times New Roman"/>
          <w:iCs/>
        </w:rPr>
        <w:t xml:space="preserve"> form a significant proportion </w:t>
      </w:r>
      <w:r w:rsidRPr="00934824">
        <w:rPr>
          <w:rFonts w:eastAsia="Times New Roman"/>
          <w:iCs/>
        </w:rPr>
        <w:t xml:space="preserve">of openly accessible biodiversity data.  Sample-based data </w:t>
      </w:r>
      <w:r w:rsidR="00486FD4">
        <w:rPr>
          <w:rFonts w:eastAsia="Times New Roman"/>
          <w:iCs/>
        </w:rPr>
        <w:t>are</w:t>
      </w:r>
      <w:r w:rsidRPr="00934824">
        <w:rPr>
          <w:rFonts w:eastAsia="Times New Roman"/>
          <w:iCs/>
        </w:rPr>
        <w:t xml:space="preserve"> often not shared, because the underlying protocols have been hard to encode in a standardised way.</w:t>
      </w:r>
    </w:p>
    <w:p w:rsidR="00BC29CA" w:rsidRDefault="00B242BC" w:rsidP="00770323">
      <w:r>
        <w:t>DwC</w:t>
      </w:r>
      <w:r w:rsidR="00EA5874">
        <w:t xml:space="preserve"> </w:t>
      </w:r>
      <w:r w:rsidR="00934824">
        <w:t>is typically used to share specimen-occurrence data as exemplified by museum / herbarium specimens and simple observation events</w:t>
      </w:r>
      <w:r w:rsidR="00EA5874">
        <w:t>. What are the additional terms, if any, required in DwC i</w:t>
      </w:r>
      <w:r w:rsidR="00770323">
        <w:t xml:space="preserve">n order to </w:t>
      </w:r>
      <w:r w:rsidR="00EA5874">
        <w:t xml:space="preserve">be able to </w:t>
      </w:r>
      <w:r w:rsidR="00770323">
        <w:t>express sample-based data</w:t>
      </w:r>
      <w:r w:rsidR="009C7CA6">
        <w:t>?</w:t>
      </w:r>
      <w:r w:rsidR="00BC29CA">
        <w:t xml:space="preserve"> The critical </w:t>
      </w:r>
      <w:r w:rsidR="0043795B">
        <w:t>features for documenting</w:t>
      </w:r>
      <w:r w:rsidR="00BC29CA">
        <w:t xml:space="preserve"> sample data are the </w:t>
      </w:r>
      <w:r w:rsidR="00BC29CA" w:rsidRPr="009C7CA6">
        <w:rPr>
          <w:b/>
        </w:rPr>
        <w:t>sampling protocol</w:t>
      </w:r>
      <w:r w:rsidR="00BC29CA">
        <w:t xml:space="preserve"> (method) and</w:t>
      </w:r>
      <w:r w:rsidR="00A55C92">
        <w:t xml:space="preserve"> a</w:t>
      </w:r>
      <w:r w:rsidR="00BC29CA">
        <w:t xml:space="preserve"> </w:t>
      </w:r>
      <w:r w:rsidR="00A55C92">
        <w:rPr>
          <w:b/>
        </w:rPr>
        <w:t>quantity</w:t>
      </w:r>
      <w:r w:rsidR="00BC29CA">
        <w:t xml:space="preserve"> measure. </w:t>
      </w:r>
      <w:r w:rsidR="00EA5874">
        <w:t xml:space="preserve">DwC already provides terms for Event, Location, Time, etc. </w:t>
      </w:r>
      <w:r w:rsidR="00BC29CA">
        <w:t>In particular, the Event class provides the following terms:</w:t>
      </w:r>
    </w:p>
    <w:p w:rsidR="00BC29CA" w:rsidRDefault="00BC29CA" w:rsidP="00A3472D">
      <w:pPr>
        <w:ind w:left="567" w:right="804"/>
      </w:pPr>
      <w:proofErr w:type="gramStart"/>
      <w:r w:rsidRPr="00EF37E3">
        <w:rPr>
          <w:b/>
        </w:rPr>
        <w:t>eventID</w:t>
      </w:r>
      <w:proofErr w:type="gramEnd"/>
      <w:r>
        <w:t xml:space="preserve"> | </w:t>
      </w:r>
      <w:r w:rsidRPr="00EE1811">
        <w:rPr>
          <w:b/>
        </w:rPr>
        <w:t>samplingProtocol</w:t>
      </w:r>
      <w:r>
        <w:t xml:space="preserve"> | </w:t>
      </w:r>
      <w:r w:rsidRPr="00EE1811">
        <w:rPr>
          <w:b/>
        </w:rPr>
        <w:t>samplingEffort</w:t>
      </w:r>
      <w:r>
        <w:t xml:space="preserve"> | eventDate | eventTime | startDayOfYear | endDayOfYear | year | month | day | verbatimEventDate | habitat | fieldNumber | fieldNotes | eventRemarks</w:t>
      </w:r>
    </w:p>
    <w:p w:rsidR="00934E78" w:rsidRDefault="00BC29CA" w:rsidP="00770323">
      <w:r>
        <w:t xml:space="preserve">So, what appears to be missing in DwC is a way to express </w:t>
      </w:r>
      <w:r w:rsidR="0025525D">
        <w:t>quantities</w:t>
      </w:r>
      <w:r w:rsidR="000876E4">
        <w:t xml:space="preserve"> and also, possibly, a term for linking associated events: “eventSeries”</w:t>
      </w:r>
      <w:r>
        <w:t xml:space="preserve">. </w:t>
      </w:r>
    </w:p>
    <w:p w:rsidR="0087520C" w:rsidRDefault="0087520C" w:rsidP="0087520C">
      <w:pPr>
        <w:pStyle w:val="Heading1"/>
      </w:pPr>
      <w:bookmarkStart w:id="3" w:name="_Toc381697628"/>
      <w:r>
        <w:t>Defining new terms</w:t>
      </w:r>
      <w:bookmarkEnd w:id="3"/>
    </w:p>
    <w:p w:rsidR="00770323" w:rsidRDefault="009C7CA6" w:rsidP="00770323">
      <w:r>
        <w:t xml:space="preserve">What </w:t>
      </w:r>
      <w:r w:rsidR="00BC29CA">
        <w:t>is</w:t>
      </w:r>
      <w:r>
        <w:t xml:space="preserve"> the minimal set of new terms needed in DwC to express </w:t>
      </w:r>
      <w:r w:rsidR="0025525D">
        <w:t>quantity</w:t>
      </w:r>
      <w:r w:rsidR="00493798">
        <w:t xml:space="preserve"> in sample data</w:t>
      </w:r>
      <w:r>
        <w:t>?</w:t>
      </w:r>
      <w:r w:rsidR="00A667E5">
        <w:t xml:space="preserve"> </w:t>
      </w:r>
      <w:r w:rsidR="00770323">
        <w:t>The following table lists terms proposed</w:t>
      </w:r>
      <w:r w:rsidR="0025525D">
        <w:t xml:space="preserve"> </w:t>
      </w:r>
      <w:r w:rsidR="00A667E5">
        <w:t>on the TDWG mailing list</w:t>
      </w:r>
      <w:r w:rsidR="00770323">
        <w:t xml:space="preserve">. </w:t>
      </w:r>
      <w:r w:rsidR="006B300B">
        <w:t xml:space="preserve"> </w:t>
      </w:r>
      <w:r w:rsidR="00493798">
        <w:t xml:space="preserve">It should be noted that most of the terms make use of the word “abundance” as the original proposal from the GBIF workshop used that term.  However, as explained in the introduction, it is probably better to </w:t>
      </w:r>
      <w:r w:rsidR="006B300B">
        <w:t xml:space="preserve">drop the </w:t>
      </w:r>
      <w:r w:rsidR="00493798">
        <w:t>word</w:t>
      </w:r>
      <w:r w:rsidR="006B300B">
        <w:t xml:space="preserve"> “abundance”</w:t>
      </w:r>
      <w:r w:rsidR="00493798">
        <w:t xml:space="preserve"> and instead use something like </w:t>
      </w:r>
      <w:r w:rsidR="00EF37E3" w:rsidRPr="00EF37E3">
        <w:rPr>
          <w:i/>
        </w:rPr>
        <w:t>quantity</w:t>
      </w:r>
      <w:r w:rsidR="00EF37E3">
        <w:t xml:space="preserve"> or </w:t>
      </w:r>
      <w:r w:rsidR="006B300B" w:rsidRPr="00493798">
        <w:rPr>
          <w:i/>
        </w:rPr>
        <w:t>countInSample</w:t>
      </w:r>
      <w:r w:rsidR="00493798">
        <w:t xml:space="preserve"> to refer to the number of individuals, counting units, etc</w:t>
      </w:r>
      <w:r w:rsidR="0043795B">
        <w:t xml:space="preserve">., </w:t>
      </w:r>
      <w:r w:rsidR="00493798">
        <w:t xml:space="preserve">in a </w:t>
      </w:r>
      <w:proofErr w:type="gramStart"/>
      <w:r w:rsidR="00493798">
        <w:t xml:space="preserve">sample </w:t>
      </w:r>
      <w:r w:rsidR="006B300B">
        <w:t xml:space="preserve"> and</w:t>
      </w:r>
      <w:proofErr w:type="gramEnd"/>
      <w:r w:rsidR="006B300B">
        <w:t xml:space="preserve"> </w:t>
      </w:r>
      <w:r w:rsidR="00EF37E3" w:rsidRPr="00EF37E3">
        <w:rPr>
          <w:i/>
        </w:rPr>
        <w:t>quantityType</w:t>
      </w:r>
      <w:r w:rsidR="00EF37E3">
        <w:t xml:space="preserve"> or </w:t>
      </w:r>
      <w:r w:rsidR="006B300B" w:rsidRPr="00493798">
        <w:rPr>
          <w:i/>
        </w:rPr>
        <w:t>countType</w:t>
      </w:r>
      <w:r w:rsidR="00493798">
        <w:t xml:space="preserve"> to define the </w:t>
      </w:r>
      <w:r w:rsidR="00B148BC">
        <w:t>type</w:t>
      </w:r>
      <w:r w:rsidR="00493798">
        <w:t xml:space="preserve"> of measurement.</w:t>
      </w:r>
    </w:p>
    <w:p w:rsidR="007F1687" w:rsidRDefault="007F1687" w:rsidP="007F1687">
      <w:pPr>
        <w:pStyle w:val="Caption"/>
        <w:keepNext/>
      </w:pPr>
      <w:proofErr w:type="gramStart"/>
      <w:r>
        <w:t xml:space="preserve">Table </w:t>
      </w:r>
      <w:fldSimple w:instr=" SEQ Table \* ARABIC ">
        <w:r>
          <w:rPr>
            <w:noProof/>
          </w:rPr>
          <w:t>1</w:t>
        </w:r>
      </w:fldSimple>
      <w:r w:rsidR="00CC4C64">
        <w:t>.</w:t>
      </w:r>
      <w:proofErr w:type="gramEnd"/>
      <w:r w:rsidR="00CC4C64">
        <w:t xml:space="preserve"> </w:t>
      </w:r>
      <w:r w:rsidR="000279F3">
        <w:t>Some p</w:t>
      </w:r>
      <w:r w:rsidR="00CC4C64">
        <w:t xml:space="preserve">roposals for </w:t>
      </w:r>
      <w:r>
        <w:t xml:space="preserve">terms to handle "abundance" </w:t>
      </w:r>
      <w:proofErr w:type="gramStart"/>
      <w:r>
        <w:t>in  Darwin</w:t>
      </w:r>
      <w:proofErr w:type="gramEnd"/>
      <w:r>
        <w:t xml:space="preserve"> Core</w:t>
      </w:r>
      <w:r w:rsidR="00CC4C64">
        <w:t xml:space="preserve"> as discussed on the TDWK mailing list</w:t>
      </w:r>
      <w:r>
        <w:t>.</w:t>
      </w:r>
    </w:p>
    <w:tbl>
      <w:tblPr>
        <w:tblStyle w:val="TableGrid"/>
        <w:tblW w:w="0" w:type="auto"/>
        <w:tblLook w:val="04A0"/>
      </w:tblPr>
      <w:tblGrid>
        <w:gridCol w:w="2235"/>
        <w:gridCol w:w="2693"/>
        <w:gridCol w:w="3685"/>
      </w:tblGrid>
      <w:tr w:rsidR="00605A09" w:rsidTr="00605A09">
        <w:tc>
          <w:tcPr>
            <w:tcW w:w="2235" w:type="dxa"/>
          </w:tcPr>
          <w:p w:rsidR="00605A09" w:rsidRPr="0087520C" w:rsidRDefault="00605A09" w:rsidP="00770323">
            <w:pPr>
              <w:rPr>
                <w:b/>
              </w:rPr>
            </w:pPr>
            <w:r w:rsidRPr="0087520C">
              <w:rPr>
                <w:b/>
              </w:rPr>
              <w:t>Term</w:t>
            </w:r>
          </w:p>
        </w:tc>
        <w:tc>
          <w:tcPr>
            <w:tcW w:w="2693" w:type="dxa"/>
          </w:tcPr>
          <w:p w:rsidR="00605A09" w:rsidRPr="0087520C" w:rsidRDefault="00605A09" w:rsidP="00770323">
            <w:pPr>
              <w:rPr>
                <w:b/>
              </w:rPr>
            </w:pPr>
            <w:r w:rsidRPr="0087520C">
              <w:rPr>
                <w:b/>
              </w:rPr>
              <w:t>Definition</w:t>
            </w:r>
          </w:p>
        </w:tc>
        <w:tc>
          <w:tcPr>
            <w:tcW w:w="3685" w:type="dxa"/>
          </w:tcPr>
          <w:p w:rsidR="00605A09" w:rsidRPr="0087520C" w:rsidRDefault="00605A09" w:rsidP="00770323">
            <w:pPr>
              <w:rPr>
                <w:b/>
              </w:rPr>
            </w:pPr>
            <w:r w:rsidRPr="0087520C">
              <w:rPr>
                <w:b/>
              </w:rPr>
              <w:t>Comments</w:t>
            </w:r>
          </w:p>
        </w:tc>
      </w:tr>
      <w:tr w:rsidR="00605A09" w:rsidTr="00605A09">
        <w:tc>
          <w:tcPr>
            <w:tcW w:w="2235" w:type="dxa"/>
          </w:tcPr>
          <w:p w:rsidR="00605A09" w:rsidRPr="00524BC0" w:rsidRDefault="00605A09" w:rsidP="00770323">
            <w:pPr>
              <w:rPr>
                <w:sz w:val="20"/>
                <w:szCs w:val="20"/>
              </w:rPr>
            </w:pPr>
            <w:r w:rsidRPr="00524BC0">
              <w:rPr>
                <w:sz w:val="20"/>
                <w:szCs w:val="20"/>
              </w:rPr>
              <w:t>abundance</w:t>
            </w:r>
          </w:p>
          <w:p w:rsidR="00605A09" w:rsidRPr="00524BC0" w:rsidRDefault="00605A09" w:rsidP="00770323">
            <w:pPr>
              <w:rPr>
                <w:sz w:val="20"/>
                <w:szCs w:val="20"/>
              </w:rPr>
            </w:pPr>
            <w:r w:rsidRPr="00524BC0">
              <w:rPr>
                <w:sz w:val="20"/>
                <w:szCs w:val="20"/>
              </w:rPr>
              <w:t>abundanceValue</w:t>
            </w:r>
          </w:p>
          <w:p w:rsidR="00605A09" w:rsidRPr="00524BC0" w:rsidRDefault="00605A09" w:rsidP="00770323">
            <w:pPr>
              <w:rPr>
                <w:sz w:val="20"/>
                <w:szCs w:val="20"/>
              </w:rPr>
            </w:pPr>
            <w:r w:rsidRPr="00524BC0">
              <w:rPr>
                <w:sz w:val="20"/>
                <w:szCs w:val="20"/>
              </w:rPr>
              <w:t>quantity</w:t>
            </w:r>
          </w:p>
        </w:tc>
        <w:tc>
          <w:tcPr>
            <w:tcW w:w="2693" w:type="dxa"/>
          </w:tcPr>
          <w:p w:rsidR="00605A09" w:rsidRPr="00524BC0" w:rsidRDefault="00605A09" w:rsidP="00770323">
            <w:pPr>
              <w:rPr>
                <w:sz w:val="20"/>
                <w:szCs w:val="20"/>
              </w:rPr>
            </w:pPr>
            <w:r w:rsidRPr="00524BC0">
              <w:rPr>
                <w:sz w:val="20"/>
                <w:szCs w:val="20"/>
              </w:rPr>
              <w:t>A numeric value</w:t>
            </w:r>
          </w:p>
        </w:tc>
        <w:tc>
          <w:tcPr>
            <w:tcW w:w="3685" w:type="dxa"/>
          </w:tcPr>
          <w:p w:rsidR="00605A09" w:rsidRPr="00524BC0" w:rsidRDefault="00605A09" w:rsidP="00770323">
            <w:pPr>
              <w:rPr>
                <w:sz w:val="20"/>
                <w:szCs w:val="20"/>
              </w:rPr>
            </w:pPr>
            <w:r w:rsidRPr="00524BC0">
              <w:rPr>
                <w:sz w:val="20"/>
                <w:szCs w:val="20"/>
              </w:rPr>
              <w:t>[HS] Keep quantity and unit separate; no need for abundanceAsPercent; use quantity instead of abundance as it better describes things like “a catch of 1000kg of fish”, “a harvest of 200 cubic metres of timber”.</w:t>
            </w:r>
          </w:p>
        </w:tc>
      </w:tr>
      <w:tr w:rsidR="00605A09" w:rsidTr="00605A09">
        <w:tc>
          <w:tcPr>
            <w:tcW w:w="2235" w:type="dxa"/>
          </w:tcPr>
          <w:p w:rsidR="00605A09" w:rsidRPr="00524BC0" w:rsidRDefault="00605A09" w:rsidP="00770323">
            <w:pPr>
              <w:rPr>
                <w:sz w:val="20"/>
                <w:szCs w:val="20"/>
              </w:rPr>
            </w:pPr>
            <w:r w:rsidRPr="00524BC0">
              <w:rPr>
                <w:sz w:val="20"/>
                <w:szCs w:val="20"/>
              </w:rPr>
              <w:t>abundanceUnit</w:t>
            </w:r>
          </w:p>
          <w:p w:rsidR="00605A09" w:rsidRPr="00524BC0" w:rsidRDefault="00605A09" w:rsidP="00770323">
            <w:pPr>
              <w:rPr>
                <w:sz w:val="20"/>
                <w:szCs w:val="20"/>
              </w:rPr>
            </w:pPr>
            <w:r w:rsidRPr="00524BC0">
              <w:rPr>
                <w:sz w:val="20"/>
                <w:szCs w:val="20"/>
              </w:rPr>
              <w:t>abundanceType</w:t>
            </w:r>
          </w:p>
        </w:tc>
        <w:tc>
          <w:tcPr>
            <w:tcW w:w="2693" w:type="dxa"/>
          </w:tcPr>
          <w:p w:rsidR="00605A09" w:rsidRPr="00524BC0" w:rsidRDefault="00605A09" w:rsidP="00770323">
            <w:pPr>
              <w:rPr>
                <w:sz w:val="20"/>
                <w:szCs w:val="20"/>
              </w:rPr>
            </w:pPr>
            <w:r w:rsidRPr="00524BC0">
              <w:rPr>
                <w:sz w:val="20"/>
                <w:szCs w:val="20"/>
              </w:rPr>
              <w:t>Specifies whether the abundanceValue</w:t>
            </w:r>
            <w:r w:rsidR="007F1687" w:rsidRPr="00524BC0">
              <w:rPr>
                <w:sz w:val="20"/>
                <w:szCs w:val="20"/>
              </w:rPr>
              <w:t>/quantity</w:t>
            </w:r>
            <w:r w:rsidRPr="00524BC0">
              <w:rPr>
                <w:sz w:val="20"/>
                <w:szCs w:val="20"/>
              </w:rPr>
              <w:t xml:space="preserve"> is in % of species, % of biovolume, % of biomass, individuals/l, individuals/m^2, individuals/m^3, individuals/sampling effort, etc</w:t>
            </w:r>
            <w:r w:rsidR="007F1687" w:rsidRPr="00524BC0">
              <w:rPr>
                <w:sz w:val="20"/>
                <w:szCs w:val="20"/>
              </w:rPr>
              <w:t>.</w:t>
            </w:r>
          </w:p>
        </w:tc>
        <w:tc>
          <w:tcPr>
            <w:tcW w:w="3685" w:type="dxa"/>
          </w:tcPr>
          <w:p w:rsidR="000C48F5" w:rsidRPr="00524BC0" w:rsidRDefault="000C48F5" w:rsidP="00770323">
            <w:pPr>
              <w:rPr>
                <w:sz w:val="20"/>
                <w:szCs w:val="20"/>
              </w:rPr>
            </w:pPr>
            <w:r w:rsidRPr="00524BC0">
              <w:rPr>
                <w:sz w:val="20"/>
                <w:szCs w:val="20"/>
              </w:rPr>
              <w:t>[AdeW] Use separate terms for value and type.</w:t>
            </w:r>
          </w:p>
          <w:p w:rsidR="00605A09" w:rsidRPr="00524BC0" w:rsidRDefault="000C48F5" w:rsidP="00770323">
            <w:pPr>
              <w:rPr>
                <w:sz w:val="20"/>
                <w:szCs w:val="20"/>
              </w:rPr>
            </w:pPr>
            <w:r w:rsidRPr="00524BC0">
              <w:rPr>
                <w:sz w:val="20"/>
                <w:szCs w:val="20"/>
              </w:rPr>
              <w:t xml:space="preserve">[EOT] </w:t>
            </w:r>
            <w:r w:rsidR="00605A09" w:rsidRPr="00524BC0">
              <w:rPr>
                <w:sz w:val="20"/>
                <w:szCs w:val="20"/>
              </w:rPr>
              <w:t>Need to define a controlled list of types for abundanceValue</w:t>
            </w:r>
          </w:p>
        </w:tc>
      </w:tr>
      <w:tr w:rsidR="00605A09" w:rsidTr="00605A09">
        <w:tc>
          <w:tcPr>
            <w:tcW w:w="2235" w:type="dxa"/>
          </w:tcPr>
          <w:p w:rsidR="00605A09" w:rsidRPr="00524BC0" w:rsidRDefault="00605A09" w:rsidP="00770323">
            <w:pPr>
              <w:rPr>
                <w:sz w:val="20"/>
                <w:szCs w:val="20"/>
              </w:rPr>
            </w:pPr>
            <w:r w:rsidRPr="00524BC0">
              <w:rPr>
                <w:sz w:val="20"/>
                <w:szCs w:val="20"/>
              </w:rPr>
              <w:t>abundanceMethod</w:t>
            </w:r>
          </w:p>
        </w:tc>
        <w:tc>
          <w:tcPr>
            <w:tcW w:w="2693" w:type="dxa"/>
          </w:tcPr>
          <w:p w:rsidR="00605A09" w:rsidRPr="00524BC0" w:rsidRDefault="00605A09" w:rsidP="00770323">
            <w:pPr>
              <w:rPr>
                <w:sz w:val="20"/>
                <w:szCs w:val="20"/>
              </w:rPr>
            </w:pPr>
          </w:p>
        </w:tc>
        <w:tc>
          <w:tcPr>
            <w:tcW w:w="3685" w:type="dxa"/>
          </w:tcPr>
          <w:p w:rsidR="00605A09" w:rsidRPr="00524BC0" w:rsidRDefault="00605A09" w:rsidP="00770323">
            <w:pPr>
              <w:rPr>
                <w:sz w:val="20"/>
                <w:szCs w:val="20"/>
              </w:rPr>
            </w:pPr>
          </w:p>
        </w:tc>
      </w:tr>
      <w:tr w:rsidR="00605A09" w:rsidTr="00605A09">
        <w:tc>
          <w:tcPr>
            <w:tcW w:w="2235" w:type="dxa"/>
          </w:tcPr>
          <w:p w:rsidR="00605A09" w:rsidRPr="00524BC0" w:rsidRDefault="00605A09" w:rsidP="00770323">
            <w:pPr>
              <w:rPr>
                <w:sz w:val="20"/>
                <w:szCs w:val="20"/>
              </w:rPr>
            </w:pPr>
            <w:r w:rsidRPr="00524BC0">
              <w:rPr>
                <w:sz w:val="20"/>
                <w:szCs w:val="20"/>
              </w:rPr>
              <w:t>abundanceAsPercent</w:t>
            </w:r>
          </w:p>
          <w:p w:rsidR="00605A09" w:rsidRPr="00524BC0" w:rsidRDefault="00605A09" w:rsidP="00770323">
            <w:pPr>
              <w:rPr>
                <w:sz w:val="20"/>
                <w:szCs w:val="20"/>
              </w:rPr>
            </w:pPr>
            <w:r w:rsidRPr="00524BC0">
              <w:rPr>
                <w:sz w:val="20"/>
                <w:szCs w:val="20"/>
              </w:rPr>
              <w:t>abundanceAsNumber</w:t>
            </w:r>
          </w:p>
        </w:tc>
        <w:tc>
          <w:tcPr>
            <w:tcW w:w="2693" w:type="dxa"/>
          </w:tcPr>
          <w:p w:rsidR="00605A09" w:rsidRPr="00524BC0" w:rsidRDefault="00605A09" w:rsidP="00770323">
            <w:pPr>
              <w:rPr>
                <w:sz w:val="20"/>
                <w:szCs w:val="20"/>
              </w:rPr>
            </w:pPr>
            <w:r w:rsidRPr="00524BC0">
              <w:rPr>
                <w:sz w:val="20"/>
                <w:szCs w:val="20"/>
              </w:rPr>
              <w:t>A numeric value referring to the % count of a taxon within a sample</w:t>
            </w:r>
          </w:p>
        </w:tc>
        <w:tc>
          <w:tcPr>
            <w:tcW w:w="3685" w:type="dxa"/>
          </w:tcPr>
          <w:p w:rsidR="00605A09" w:rsidRPr="00524BC0" w:rsidRDefault="00301FCB" w:rsidP="00493798">
            <w:pPr>
              <w:rPr>
                <w:sz w:val="20"/>
                <w:szCs w:val="20"/>
              </w:rPr>
            </w:pPr>
            <w:r w:rsidRPr="00524BC0">
              <w:rPr>
                <w:sz w:val="20"/>
                <w:szCs w:val="20"/>
              </w:rPr>
              <w:t xml:space="preserve">[DH] </w:t>
            </w:r>
            <w:r w:rsidR="00605A09" w:rsidRPr="00524BC0">
              <w:rPr>
                <w:sz w:val="20"/>
                <w:szCs w:val="20"/>
              </w:rPr>
              <w:t xml:space="preserve">This is covered by using abundance </w:t>
            </w:r>
            <w:r w:rsidR="00493798" w:rsidRPr="00524BC0">
              <w:rPr>
                <w:sz w:val="20"/>
                <w:szCs w:val="20"/>
              </w:rPr>
              <w:t>with</w:t>
            </w:r>
            <w:r w:rsidR="00605A09" w:rsidRPr="00524BC0">
              <w:rPr>
                <w:sz w:val="20"/>
                <w:szCs w:val="20"/>
              </w:rPr>
              <w:t xml:space="preserve"> abundanceType where value is “% of species”</w:t>
            </w:r>
          </w:p>
        </w:tc>
      </w:tr>
      <w:tr w:rsidR="00605A09" w:rsidTr="00605A09">
        <w:tc>
          <w:tcPr>
            <w:tcW w:w="2235" w:type="dxa"/>
          </w:tcPr>
          <w:p w:rsidR="00605A09" w:rsidRPr="00524BC0" w:rsidRDefault="00605A09" w:rsidP="00770323">
            <w:pPr>
              <w:rPr>
                <w:sz w:val="20"/>
                <w:szCs w:val="20"/>
              </w:rPr>
            </w:pPr>
            <w:r w:rsidRPr="00524BC0">
              <w:rPr>
                <w:sz w:val="20"/>
                <w:szCs w:val="20"/>
              </w:rPr>
              <w:t>quantityRange</w:t>
            </w:r>
          </w:p>
        </w:tc>
        <w:tc>
          <w:tcPr>
            <w:tcW w:w="2693" w:type="dxa"/>
          </w:tcPr>
          <w:p w:rsidR="00605A09" w:rsidRPr="00524BC0" w:rsidRDefault="00605A09" w:rsidP="00770323">
            <w:pPr>
              <w:rPr>
                <w:sz w:val="20"/>
                <w:szCs w:val="20"/>
              </w:rPr>
            </w:pPr>
          </w:p>
        </w:tc>
        <w:tc>
          <w:tcPr>
            <w:tcW w:w="3685" w:type="dxa"/>
          </w:tcPr>
          <w:p w:rsidR="00605A09" w:rsidRPr="00524BC0" w:rsidRDefault="00605A09" w:rsidP="00770323">
            <w:pPr>
              <w:rPr>
                <w:sz w:val="20"/>
                <w:szCs w:val="20"/>
              </w:rPr>
            </w:pPr>
            <w:r w:rsidRPr="00524BC0">
              <w:rPr>
                <w:sz w:val="20"/>
                <w:szCs w:val="20"/>
              </w:rPr>
              <w:t>[HS]</w:t>
            </w:r>
            <w:r w:rsidR="00301FCB" w:rsidRPr="00524BC0">
              <w:rPr>
                <w:sz w:val="20"/>
                <w:szCs w:val="20"/>
              </w:rPr>
              <w:t>Provide</w:t>
            </w:r>
            <w:r w:rsidRPr="00524BC0">
              <w:rPr>
                <w:sz w:val="20"/>
                <w:szCs w:val="20"/>
              </w:rPr>
              <w:t xml:space="preserve"> a range for the quantity as uncertainty is so common in sightings</w:t>
            </w:r>
          </w:p>
        </w:tc>
      </w:tr>
      <w:tr w:rsidR="00605A09" w:rsidTr="00605A09">
        <w:tc>
          <w:tcPr>
            <w:tcW w:w="2235" w:type="dxa"/>
          </w:tcPr>
          <w:p w:rsidR="00605A09" w:rsidRPr="00524BC0" w:rsidRDefault="00605A09" w:rsidP="00770323">
            <w:pPr>
              <w:rPr>
                <w:sz w:val="20"/>
                <w:szCs w:val="20"/>
              </w:rPr>
            </w:pPr>
            <w:r w:rsidRPr="00524BC0">
              <w:rPr>
                <w:sz w:val="20"/>
                <w:szCs w:val="20"/>
              </w:rPr>
              <w:t>individualCount</w:t>
            </w:r>
          </w:p>
        </w:tc>
        <w:tc>
          <w:tcPr>
            <w:tcW w:w="2693" w:type="dxa"/>
          </w:tcPr>
          <w:p w:rsidR="00605A09" w:rsidRPr="00524BC0" w:rsidRDefault="00605A09" w:rsidP="00770323">
            <w:pPr>
              <w:rPr>
                <w:sz w:val="20"/>
                <w:szCs w:val="20"/>
              </w:rPr>
            </w:pPr>
          </w:p>
        </w:tc>
        <w:tc>
          <w:tcPr>
            <w:tcW w:w="3685" w:type="dxa"/>
          </w:tcPr>
          <w:p w:rsidR="00605A09" w:rsidRPr="00524BC0" w:rsidRDefault="00605A09" w:rsidP="00770323">
            <w:pPr>
              <w:rPr>
                <w:sz w:val="20"/>
                <w:szCs w:val="20"/>
              </w:rPr>
            </w:pPr>
            <w:r w:rsidRPr="00524BC0">
              <w:rPr>
                <w:sz w:val="20"/>
                <w:szCs w:val="20"/>
              </w:rPr>
              <w:t>[HS] should be deprecated</w:t>
            </w:r>
            <w:r w:rsidR="001F4782" w:rsidRPr="00524BC0">
              <w:rPr>
                <w:sz w:val="20"/>
                <w:szCs w:val="20"/>
              </w:rPr>
              <w:t xml:space="preserve">     </w:t>
            </w:r>
          </w:p>
        </w:tc>
      </w:tr>
    </w:tbl>
    <w:p w:rsidR="00493798" w:rsidRDefault="00493798" w:rsidP="0004030B">
      <w:pPr>
        <w:pStyle w:val="Heading1"/>
      </w:pPr>
      <w:bookmarkStart w:id="4" w:name="_Toc381697629"/>
      <w:r>
        <w:lastRenderedPageBreak/>
        <w:t xml:space="preserve">Absolute </w:t>
      </w:r>
      <w:r w:rsidR="007A3B71">
        <w:t>vs.</w:t>
      </w:r>
      <w:r>
        <w:t xml:space="preserve"> relative counts</w:t>
      </w:r>
      <w:bookmarkEnd w:id="4"/>
    </w:p>
    <w:p w:rsidR="00493798" w:rsidRDefault="00493798" w:rsidP="00493798">
      <w:r>
        <w:t xml:space="preserve">How </w:t>
      </w:r>
      <w:r w:rsidR="00EF37E3">
        <w:t xml:space="preserve">useful is it to take a simpler </w:t>
      </w:r>
      <w:r>
        <w:t xml:space="preserve">approach and just provide a measure of relative presence of a taxon </w:t>
      </w:r>
      <w:r w:rsidR="007F1687">
        <w:t>in a sampling event, e.g., the</w:t>
      </w:r>
      <w:r>
        <w:t xml:space="preserve"> </w:t>
      </w:r>
      <w:r w:rsidR="007F1687">
        <w:t>number of individuals</w:t>
      </w:r>
      <w:r>
        <w:t xml:space="preserve"> of </w:t>
      </w:r>
      <w:r w:rsidR="007F1687">
        <w:t xml:space="preserve">a </w:t>
      </w:r>
      <w:r w:rsidR="00EF37E3">
        <w:t>species in a M</w:t>
      </w:r>
      <w:r>
        <w:t>alaise trap</w:t>
      </w:r>
      <w:r w:rsidR="007F1687">
        <w:t xml:space="preserve"> as a % of the number of individuals of all species present</w:t>
      </w:r>
      <w:r>
        <w:t xml:space="preserve">? This would require three properties to be associated with an occurrence: i) </w:t>
      </w:r>
      <w:r w:rsidRPr="00981EC4">
        <w:rPr>
          <w:i/>
        </w:rPr>
        <w:t>samplingEventID</w:t>
      </w:r>
      <w:r>
        <w:t xml:space="preserve">, ii) </w:t>
      </w:r>
      <w:r w:rsidRPr="00981EC4">
        <w:rPr>
          <w:i/>
        </w:rPr>
        <w:t>samplingProtocolIdentifier</w:t>
      </w:r>
      <w:r>
        <w:t xml:space="preserve">, iii) </w:t>
      </w:r>
      <w:r w:rsidRPr="00981EC4">
        <w:rPr>
          <w:i/>
        </w:rPr>
        <w:t>relativeAbundanceValue</w:t>
      </w:r>
      <w:r>
        <w:t>.</w:t>
      </w:r>
      <w:r w:rsidR="007F1687">
        <w:t xml:space="preserve"> An alternative, more flexible </w:t>
      </w:r>
      <w:r w:rsidR="008C0226">
        <w:t>solution</w:t>
      </w:r>
      <w:r w:rsidR="007F1687">
        <w:t xml:space="preserve"> </w:t>
      </w:r>
      <w:r w:rsidR="00A94326">
        <w:t xml:space="preserve">as suggested in Table </w:t>
      </w:r>
      <w:proofErr w:type="gramStart"/>
      <w:r w:rsidR="00A94326">
        <w:t>1,</w:t>
      </w:r>
      <w:proofErr w:type="gramEnd"/>
      <w:r w:rsidR="00A94326">
        <w:t xml:space="preserve"> </w:t>
      </w:r>
      <w:r w:rsidR="007F1687">
        <w:t>is to use</w:t>
      </w:r>
      <w:r w:rsidR="00EF37E3">
        <w:t xml:space="preserve">, in place of </w:t>
      </w:r>
      <w:r w:rsidR="00EF37E3" w:rsidRPr="00981EC4">
        <w:rPr>
          <w:i/>
        </w:rPr>
        <w:t>relativeAbundanceValue</w:t>
      </w:r>
      <w:r w:rsidR="00EF37E3">
        <w:t xml:space="preserve">, </w:t>
      </w:r>
      <w:r w:rsidR="00981EC4" w:rsidRPr="00981EC4">
        <w:rPr>
          <w:i/>
        </w:rPr>
        <w:t>abundance</w:t>
      </w:r>
      <w:r w:rsidR="00981EC4">
        <w:t xml:space="preserve"> and </w:t>
      </w:r>
      <w:r w:rsidR="00981EC4" w:rsidRPr="00981EC4">
        <w:rPr>
          <w:i/>
        </w:rPr>
        <w:t>abundanceType</w:t>
      </w:r>
      <w:r w:rsidR="00EF37E3">
        <w:t xml:space="preserve"> where the value of the latter would be “% of species”.</w:t>
      </w:r>
    </w:p>
    <w:p w:rsidR="00D42F1B" w:rsidRPr="005F1E55" w:rsidRDefault="00D35F63" w:rsidP="005F1E55">
      <w:pPr>
        <w:pStyle w:val="Heading1"/>
      </w:pPr>
      <w:r>
        <w:t>Darwin Core</w:t>
      </w:r>
      <w:r w:rsidR="000876E4">
        <w:t xml:space="preserve"> Archive</w:t>
      </w:r>
      <w:r>
        <w:t xml:space="preserve"> data model</w:t>
      </w:r>
    </w:p>
    <w:p w:rsidR="008F099B" w:rsidRDefault="00D35F63" w:rsidP="000A2D6B">
      <w:r>
        <w:t>The GBIF IPT uses a particular text format called Darwin Core Archive (DwC-A)</w:t>
      </w:r>
      <w:r>
        <w:rPr>
          <w:rStyle w:val="FootnoteReference"/>
        </w:rPr>
        <w:footnoteReference w:id="2"/>
      </w:r>
      <w:r>
        <w:t>. DwC-A</w:t>
      </w:r>
      <w:r w:rsidR="008F099B">
        <w:t xml:space="preserve"> (Figure 1)</w:t>
      </w:r>
      <w:r>
        <w:t xml:space="preserve"> imposes a relatively simple one-to-many relational model </w:t>
      </w:r>
      <w:r w:rsidR="00950F79">
        <w:t xml:space="preserve">(i.e., star schema) </w:t>
      </w:r>
      <w:r>
        <w:t xml:space="preserve">in which </w:t>
      </w:r>
      <w:r w:rsidR="008F099B">
        <w:t xml:space="preserve">a row in </w:t>
      </w:r>
      <w:r w:rsidR="000E0FB3">
        <w:t>a</w:t>
      </w:r>
      <w:r w:rsidR="008F099B">
        <w:t xml:space="preserve"> </w:t>
      </w:r>
      <w:r w:rsidR="00950F79">
        <w:t xml:space="preserve">(central) </w:t>
      </w:r>
      <w:r w:rsidR="008F099B">
        <w:t xml:space="preserve">core table can be linked to many rows in one or more </w:t>
      </w:r>
      <w:r w:rsidR="00950F79">
        <w:t xml:space="preserve">(surrounding) </w:t>
      </w:r>
      <w:r w:rsidR="008F099B">
        <w:t xml:space="preserve">extension tables. Currently, GBIF uses two </w:t>
      </w:r>
      <w:r w:rsidR="000E0FB3">
        <w:t>cores: Taxon or Occurrence. Thus, e.g., a row in the Taxon core typically includ</w:t>
      </w:r>
      <w:r w:rsidR="00950F79">
        <w:t>ing</w:t>
      </w:r>
      <w:r w:rsidR="000E0FB3">
        <w:t xml:space="preserve"> a Linnaean binomial could be linked to several rows in a “VernacularNames” extension, each row providing a </w:t>
      </w:r>
      <w:r w:rsidR="00950F79">
        <w:t>different</w:t>
      </w:r>
      <w:r w:rsidR="000E0FB3">
        <w:t xml:space="preserve"> vernacular name for the species</w:t>
      </w:r>
      <w:r w:rsidR="000279F3">
        <w:t xml:space="preserve"> named in the row</w:t>
      </w:r>
      <w:r w:rsidR="000E0FB3">
        <w:t xml:space="preserve"> in </w:t>
      </w:r>
      <w:r w:rsidR="000279F3">
        <w:t>the core</w:t>
      </w:r>
      <w:r w:rsidR="000E0FB3">
        <w:t>.</w:t>
      </w:r>
    </w:p>
    <w:p w:rsidR="008F099B" w:rsidRDefault="008F099B" w:rsidP="008F099B">
      <w:pPr>
        <w:keepNext/>
      </w:pPr>
      <w:r>
        <w:rPr>
          <w:noProof/>
          <w:lang w:eastAsia="en-GB"/>
        </w:rPr>
        <w:drawing>
          <wp:inline distT="0" distB="0" distL="0" distR="0">
            <wp:extent cx="5731510" cy="3635375"/>
            <wp:effectExtent l="19050" t="0" r="2540" b="0"/>
            <wp:docPr id="4" name="Picture 3" descr="d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ca.png"/>
                    <pic:cNvPicPr/>
                  </pic:nvPicPr>
                  <pic:blipFill>
                    <a:blip r:embed="rId8" cstate="print"/>
                    <a:stretch>
                      <a:fillRect/>
                    </a:stretch>
                  </pic:blipFill>
                  <pic:spPr>
                    <a:xfrm>
                      <a:off x="0" y="0"/>
                      <a:ext cx="5731510" cy="3635375"/>
                    </a:xfrm>
                    <a:prstGeom prst="rect">
                      <a:avLst/>
                    </a:prstGeom>
                  </pic:spPr>
                </pic:pic>
              </a:graphicData>
            </a:graphic>
          </wp:inline>
        </w:drawing>
      </w:r>
    </w:p>
    <w:p w:rsidR="008F099B" w:rsidRDefault="008F099B" w:rsidP="008F099B">
      <w:pPr>
        <w:pStyle w:val="Caption"/>
      </w:pPr>
      <w:proofErr w:type="gramStart"/>
      <w:r>
        <w:t xml:space="preserve">Figure </w:t>
      </w:r>
      <w:fldSimple w:instr=" SEQ Figure \* ARABIC ">
        <w:r>
          <w:rPr>
            <w:noProof/>
          </w:rPr>
          <w:t>1</w:t>
        </w:r>
      </w:fldSimple>
      <w:r>
        <w:t>.</w:t>
      </w:r>
      <w:proofErr w:type="gramEnd"/>
      <w:r>
        <w:t xml:space="preserve"> </w:t>
      </w:r>
      <w:proofErr w:type="gramStart"/>
      <w:r>
        <w:t xml:space="preserve">The components </w:t>
      </w:r>
      <w:r w:rsidR="000279F3">
        <w:t>of</w:t>
      </w:r>
      <w:r w:rsidR="0004030B">
        <w:t xml:space="preserve"> a Darwin Core A</w:t>
      </w:r>
      <w:r>
        <w:t>rchive.</w:t>
      </w:r>
      <w:proofErr w:type="gramEnd"/>
    </w:p>
    <w:p w:rsidR="008F099B" w:rsidRDefault="008F099B" w:rsidP="000A2D6B"/>
    <w:p w:rsidR="0082481F" w:rsidRPr="000E0FB3" w:rsidRDefault="000E0FB3" w:rsidP="000A2D6B">
      <w:r>
        <w:lastRenderedPageBreak/>
        <w:t xml:space="preserve">Here, we are proposing a </w:t>
      </w:r>
      <w:r w:rsidR="00950F79">
        <w:t xml:space="preserve">third, </w:t>
      </w:r>
      <w:r>
        <w:t xml:space="preserve">new </w:t>
      </w:r>
      <w:r w:rsidR="00950F79">
        <w:t xml:space="preserve">core for sample data </w:t>
      </w:r>
      <w:r w:rsidR="00950F79">
        <w:rPr>
          <w:rFonts w:eastAsia="Times New Roman"/>
        </w:rPr>
        <w:t xml:space="preserve">(Figure 2) consisting </w:t>
      </w:r>
      <w:r w:rsidR="00960F0A">
        <w:t xml:space="preserve">of a </w:t>
      </w:r>
      <w:r w:rsidR="00960F0A" w:rsidRPr="00E02923">
        <w:rPr>
          <w:b/>
        </w:rPr>
        <w:t>core</w:t>
      </w:r>
      <w:r w:rsidR="00960F0A">
        <w:t xml:space="preserve"> Event</w:t>
      </w:r>
      <w:r w:rsidR="004E476F">
        <w:rPr>
          <w:rStyle w:val="FootnoteReference"/>
        </w:rPr>
        <w:footnoteReference w:id="3"/>
      </w:r>
      <w:r w:rsidR="00960F0A">
        <w:t xml:space="preserve"> (i.e. sampling event) table and a</w:t>
      </w:r>
      <w:r w:rsidR="004E476F">
        <w:t>n</w:t>
      </w:r>
      <w:r w:rsidR="00960F0A">
        <w:t xml:space="preserve"> </w:t>
      </w:r>
      <w:r w:rsidR="0045474C">
        <w:t>event</w:t>
      </w:r>
      <w:r w:rsidR="00960F0A">
        <w:t xml:space="preserve">-occurrence </w:t>
      </w:r>
      <w:r w:rsidR="00960F0A" w:rsidRPr="00E02923">
        <w:rPr>
          <w:b/>
        </w:rPr>
        <w:t>extension</w:t>
      </w:r>
      <w:r w:rsidR="00960F0A">
        <w:t xml:space="preserve"> table. In the core table</w:t>
      </w:r>
      <w:r w:rsidR="002047B7">
        <w:t>,</w:t>
      </w:r>
      <w:r w:rsidR="00960F0A">
        <w:t xml:space="preserve"> each row is a sample identified by a unique eventID and other columns describe</w:t>
      </w:r>
      <w:r w:rsidR="00960F0A" w:rsidRPr="00E0404C">
        <w:t xml:space="preserve"> sampling protocol</w:t>
      </w:r>
      <w:r w:rsidR="00960F0A">
        <w:t>, date, location, etc.</w:t>
      </w:r>
      <w:r w:rsidR="00960F0A" w:rsidRPr="00E0404C">
        <w:t xml:space="preserve"> </w:t>
      </w:r>
      <w:r w:rsidR="00960F0A">
        <w:t>The rows in the extension table</w:t>
      </w:r>
      <w:r w:rsidR="00960F0A" w:rsidRPr="00E0404C">
        <w:t xml:space="preserve"> </w:t>
      </w:r>
      <w:r w:rsidR="00960F0A">
        <w:t>reference a sample in the core (via eventID) and list the</w:t>
      </w:r>
      <w:r w:rsidR="00960F0A" w:rsidRPr="00E0404C">
        <w:t xml:space="preserve"> taxa</w:t>
      </w:r>
      <w:r w:rsidR="00960F0A">
        <w:t xml:space="preserve"> in the sample together with associated </w:t>
      </w:r>
      <w:r w:rsidR="00960F0A" w:rsidRPr="00E0404C">
        <w:t>measurement (quantity and quantityType</w:t>
      </w:r>
      <w:r w:rsidR="00960F0A">
        <w:t>)</w:t>
      </w:r>
      <w:r w:rsidR="00960F0A" w:rsidRPr="00E0404C">
        <w:t>.</w:t>
      </w:r>
      <w:r w:rsidR="00960F0A">
        <w:t xml:space="preserve"> Following the one-to-many star schema, one sample</w:t>
      </w:r>
      <w:r w:rsidR="000876E4">
        <w:t xml:space="preserve"> row</w:t>
      </w:r>
      <w:r w:rsidR="00960F0A">
        <w:t xml:space="preserve"> can link </w:t>
      </w:r>
      <w:proofErr w:type="gramStart"/>
      <w:r w:rsidR="00960F0A">
        <w:t>to</w:t>
      </w:r>
      <w:proofErr w:type="gramEnd"/>
      <w:r w:rsidR="00960F0A">
        <w:t xml:space="preserve"> many tax</w:t>
      </w:r>
      <w:r w:rsidR="000876E4">
        <w:t>on rows</w:t>
      </w:r>
      <w:r w:rsidR="00960F0A">
        <w:t>.</w:t>
      </w:r>
    </w:p>
    <w:p w:rsidR="00A51E55" w:rsidRDefault="00AB2137" w:rsidP="00A51E55">
      <w:pPr>
        <w:keepNext/>
      </w:pPr>
      <w:r>
        <w:rPr>
          <w:noProof/>
          <w:lang w:eastAsia="en-GB"/>
        </w:rPr>
        <w:drawing>
          <wp:inline distT="0" distB="0" distL="0" distR="0">
            <wp:extent cx="5731510" cy="3168650"/>
            <wp:effectExtent l="19050" t="0" r="2540" b="0"/>
            <wp:docPr id="1" name="Picture 0" descr="EUBON-crete-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BON-crete-sample-data.png"/>
                    <pic:cNvPicPr/>
                  </pic:nvPicPr>
                  <pic:blipFill>
                    <a:blip r:embed="rId9" cstate="print"/>
                    <a:stretch>
                      <a:fillRect/>
                    </a:stretch>
                  </pic:blipFill>
                  <pic:spPr>
                    <a:xfrm>
                      <a:off x="0" y="0"/>
                      <a:ext cx="5731510" cy="3168650"/>
                    </a:xfrm>
                    <a:prstGeom prst="rect">
                      <a:avLst/>
                    </a:prstGeom>
                  </pic:spPr>
                </pic:pic>
              </a:graphicData>
            </a:graphic>
          </wp:inline>
        </w:drawing>
      </w:r>
    </w:p>
    <w:p w:rsidR="00511900" w:rsidRPr="00220D92" w:rsidRDefault="00A51E55" w:rsidP="00220D92">
      <w:pPr>
        <w:pStyle w:val="Caption"/>
        <w:rPr>
          <w:rFonts w:eastAsia="Times New Roman"/>
        </w:rPr>
      </w:pPr>
      <w:proofErr w:type="gramStart"/>
      <w:r>
        <w:t xml:space="preserve">Figure </w:t>
      </w:r>
      <w:r w:rsidR="006D25FE">
        <w:fldChar w:fldCharType="begin"/>
      </w:r>
      <w:r w:rsidR="00665698">
        <w:instrText xml:space="preserve"> SEQ Figure \* ARABIC </w:instrText>
      </w:r>
      <w:r w:rsidR="006D25FE">
        <w:fldChar w:fldCharType="separate"/>
      </w:r>
      <w:r w:rsidR="008F099B">
        <w:rPr>
          <w:noProof/>
        </w:rPr>
        <w:t>2</w:t>
      </w:r>
      <w:r w:rsidR="006D25FE">
        <w:fldChar w:fldCharType="end"/>
      </w:r>
      <w:r>
        <w:t>.</w:t>
      </w:r>
      <w:proofErr w:type="gramEnd"/>
      <w:r>
        <w:t xml:space="preserve"> The data model proposed for the Darwin Core Archive for sample data</w:t>
      </w:r>
      <w:r w:rsidR="00E02923">
        <w:t>.</w:t>
      </w:r>
      <w:bookmarkStart w:id="5" w:name="_Toc381697632"/>
    </w:p>
    <w:bookmarkEnd w:id="5"/>
    <w:p w:rsidR="006550D8" w:rsidRPr="006550D8" w:rsidRDefault="00220D92" w:rsidP="00220D92">
      <w:pPr>
        <w:pStyle w:val="Heading1"/>
      </w:pPr>
      <w:r>
        <w:t>Requirements</w:t>
      </w:r>
    </w:p>
    <w:p w:rsidR="00FB40B0" w:rsidRDefault="00FB40B0" w:rsidP="00FB40B0">
      <w:pPr>
        <w:pStyle w:val="Heading2"/>
        <w:rPr>
          <w:rFonts w:eastAsia="Times New Roman"/>
        </w:rPr>
      </w:pPr>
      <w:r>
        <w:rPr>
          <w:rFonts w:eastAsia="Times New Roman"/>
        </w:rPr>
        <w:t>Standards</w:t>
      </w:r>
    </w:p>
    <w:p w:rsidR="00AD2584" w:rsidRPr="00220D92" w:rsidRDefault="00AD2584" w:rsidP="00220D92">
      <w:pPr>
        <w:rPr>
          <w:rFonts w:eastAsia="Times New Roman"/>
        </w:rPr>
      </w:pPr>
      <w:r w:rsidRPr="00220D92">
        <w:rPr>
          <w:rFonts w:eastAsia="Times New Roman"/>
        </w:rPr>
        <w:t xml:space="preserve">Agree </w:t>
      </w:r>
      <w:r w:rsidR="00D31255" w:rsidRPr="00220D92">
        <w:rPr>
          <w:rFonts w:eastAsia="Times New Roman"/>
        </w:rPr>
        <w:t>on the essential</w:t>
      </w:r>
      <w:r w:rsidRPr="00220D92">
        <w:rPr>
          <w:rFonts w:eastAsia="Times New Roman"/>
        </w:rPr>
        <w:t xml:space="preserve"> terms </w:t>
      </w:r>
      <w:r w:rsidR="00F21985" w:rsidRPr="00220D92">
        <w:rPr>
          <w:rFonts w:eastAsia="Times New Roman"/>
        </w:rPr>
        <w:t>to be associated with a taxon occurrence in order to be able to</w:t>
      </w:r>
      <w:r w:rsidRPr="00220D92">
        <w:rPr>
          <w:rFonts w:eastAsia="Times New Roman"/>
        </w:rPr>
        <w:t xml:space="preserve"> </w:t>
      </w:r>
      <w:r w:rsidR="00F21985" w:rsidRPr="00220D92">
        <w:rPr>
          <w:rFonts w:eastAsia="Times New Roman"/>
        </w:rPr>
        <w:t>express</w:t>
      </w:r>
      <w:r w:rsidRPr="00220D92">
        <w:rPr>
          <w:rFonts w:eastAsia="Times New Roman"/>
        </w:rPr>
        <w:t xml:space="preserve"> sample-based data in DwC</w:t>
      </w:r>
      <w:r w:rsidR="00D31255" w:rsidRPr="00220D92">
        <w:rPr>
          <w:rFonts w:eastAsia="Times New Roman"/>
        </w:rPr>
        <w:t>. The minimum appears to be:</w:t>
      </w:r>
    </w:p>
    <w:p w:rsidR="00AD2584" w:rsidRDefault="00AD2584" w:rsidP="00220D92">
      <w:pPr>
        <w:pStyle w:val="ListParagraph"/>
        <w:numPr>
          <w:ilvl w:val="0"/>
          <w:numId w:val="6"/>
        </w:numPr>
        <w:rPr>
          <w:rFonts w:eastAsia="Times New Roman"/>
        </w:rPr>
      </w:pPr>
      <w:proofErr w:type="gramStart"/>
      <w:r w:rsidRPr="00AD2584">
        <w:rPr>
          <w:rFonts w:eastAsia="Times New Roman"/>
          <w:b/>
        </w:rPr>
        <w:t>eventID</w:t>
      </w:r>
      <w:proofErr w:type="gramEnd"/>
      <w:r>
        <w:rPr>
          <w:rFonts w:eastAsia="Times New Roman"/>
        </w:rPr>
        <w:t xml:space="preserve"> (“</w:t>
      </w:r>
      <w:r>
        <w:t>An identifier for the set of information associated with an Event (something that occurs at a place and time). May be a global unique identifier or an identifier specific to the data set.</w:t>
      </w:r>
      <w:r>
        <w:rPr>
          <w:rFonts w:eastAsia="Times New Roman"/>
        </w:rPr>
        <w:t>”)</w:t>
      </w:r>
    </w:p>
    <w:p w:rsidR="00AD2584" w:rsidRDefault="00AD2584" w:rsidP="00220D92">
      <w:pPr>
        <w:pStyle w:val="ListParagraph"/>
        <w:numPr>
          <w:ilvl w:val="0"/>
          <w:numId w:val="6"/>
        </w:numPr>
        <w:rPr>
          <w:rFonts w:eastAsia="Times New Roman"/>
        </w:rPr>
      </w:pPr>
      <w:proofErr w:type="gramStart"/>
      <w:r w:rsidRPr="00AD2584">
        <w:rPr>
          <w:rFonts w:eastAsia="Times New Roman"/>
          <w:b/>
        </w:rPr>
        <w:t>samplingProtocol</w:t>
      </w:r>
      <w:proofErr w:type="gramEnd"/>
      <w:r>
        <w:rPr>
          <w:rFonts w:eastAsia="Times New Roman"/>
        </w:rPr>
        <w:t xml:space="preserve"> (“</w:t>
      </w:r>
      <w:r>
        <w:t>The name of, reference to, or description of the method or protocol used during an Event.</w:t>
      </w:r>
      <w:r>
        <w:rPr>
          <w:rFonts w:eastAsia="Times New Roman"/>
        </w:rPr>
        <w:t>”)</w:t>
      </w:r>
    </w:p>
    <w:p w:rsidR="00AD2584" w:rsidRDefault="00AD2584" w:rsidP="00220D92">
      <w:pPr>
        <w:pStyle w:val="ListParagraph"/>
        <w:numPr>
          <w:ilvl w:val="0"/>
          <w:numId w:val="6"/>
        </w:numPr>
        <w:rPr>
          <w:rFonts w:eastAsia="Times New Roman"/>
        </w:rPr>
      </w:pPr>
      <w:r w:rsidRPr="00AD2584">
        <w:rPr>
          <w:rFonts w:eastAsia="Times New Roman"/>
          <w:b/>
        </w:rPr>
        <w:t>quantity</w:t>
      </w:r>
      <w:r w:rsidR="00F83D6B">
        <w:rPr>
          <w:rStyle w:val="FootnoteReference"/>
          <w:rFonts w:eastAsia="Times New Roman"/>
          <w:b/>
        </w:rPr>
        <w:footnoteReference w:id="4"/>
      </w:r>
      <w:r>
        <w:rPr>
          <w:rFonts w:eastAsia="Times New Roman"/>
        </w:rPr>
        <w:t xml:space="preserve"> (new; to be defined; “the number of units found in the sample”)</w:t>
      </w:r>
    </w:p>
    <w:p w:rsidR="00220D92" w:rsidRDefault="00AD2584" w:rsidP="00220D92">
      <w:pPr>
        <w:pStyle w:val="ListParagraph"/>
        <w:numPr>
          <w:ilvl w:val="0"/>
          <w:numId w:val="6"/>
        </w:numPr>
        <w:rPr>
          <w:rFonts w:eastAsia="Times New Roman"/>
        </w:rPr>
      </w:pPr>
      <w:r w:rsidRPr="00D31255">
        <w:rPr>
          <w:rFonts w:eastAsia="Times New Roman"/>
          <w:b/>
        </w:rPr>
        <w:t>quantityType</w:t>
      </w:r>
      <w:r>
        <w:rPr>
          <w:rFonts w:eastAsia="Times New Roman"/>
        </w:rPr>
        <w:t xml:space="preserve"> (new; to be defined; “the type of unit used to quantify the sample”)</w:t>
      </w:r>
    </w:p>
    <w:p w:rsidR="00511900" w:rsidRPr="00220D92" w:rsidRDefault="00E4531A" w:rsidP="00511900">
      <w:pPr>
        <w:pStyle w:val="ListParagraph"/>
        <w:numPr>
          <w:ilvl w:val="0"/>
          <w:numId w:val="6"/>
        </w:numPr>
        <w:rPr>
          <w:rFonts w:eastAsia="Times New Roman"/>
        </w:rPr>
      </w:pPr>
      <w:r w:rsidRPr="00220D92">
        <w:rPr>
          <w:rFonts w:eastAsia="Times New Roman"/>
          <w:b/>
        </w:rPr>
        <w:lastRenderedPageBreak/>
        <w:t xml:space="preserve">eventSeries </w:t>
      </w:r>
      <w:r w:rsidRPr="00220D92">
        <w:rPr>
          <w:rFonts w:eastAsia="Times New Roman"/>
        </w:rPr>
        <w:t xml:space="preserve">(new; to be defined; “a set of events that are associated in some way”), e.g. as part of a monitoring series; </w:t>
      </w:r>
      <w:r>
        <w:t>may be a global unique identifier or an identifier specific to the series</w:t>
      </w:r>
    </w:p>
    <w:p w:rsidR="00F21985" w:rsidRPr="00E4531A" w:rsidRDefault="00F21985" w:rsidP="00E4531A">
      <w:pPr>
        <w:pStyle w:val="ListParagraph"/>
        <w:numPr>
          <w:ilvl w:val="0"/>
          <w:numId w:val="6"/>
        </w:numPr>
        <w:rPr>
          <w:rFonts w:eastAsia="Times New Roman"/>
        </w:rPr>
      </w:pPr>
      <w:r>
        <w:rPr>
          <w:rFonts w:eastAsia="Times New Roman"/>
        </w:rPr>
        <w:t xml:space="preserve">Decide on the most machine </w:t>
      </w:r>
      <w:r w:rsidR="00EB6589">
        <w:rPr>
          <w:rFonts w:eastAsia="Times New Roman"/>
        </w:rPr>
        <w:t>efficient way to refer to</w:t>
      </w:r>
      <w:r w:rsidR="00E4531A">
        <w:rPr>
          <w:rFonts w:eastAsia="Times New Roman"/>
        </w:rPr>
        <w:t xml:space="preserve"> </w:t>
      </w:r>
      <w:r w:rsidR="00EB6589" w:rsidRPr="00E4531A">
        <w:rPr>
          <w:rFonts w:eastAsia="Times New Roman"/>
        </w:rPr>
        <w:t>a</w:t>
      </w:r>
      <w:r w:rsidRPr="00E4531A">
        <w:rPr>
          <w:rFonts w:eastAsia="Times New Roman"/>
        </w:rPr>
        <w:t xml:space="preserve"> sampling protocol (controlled vocabulary; publication reference; URL?).</w:t>
      </w:r>
    </w:p>
    <w:p w:rsidR="00F21985" w:rsidRPr="0009195C" w:rsidRDefault="000C4A46" w:rsidP="00F21985">
      <w:pPr>
        <w:pStyle w:val="ListParagraph"/>
        <w:numPr>
          <w:ilvl w:val="0"/>
          <w:numId w:val="6"/>
        </w:numPr>
        <w:rPr>
          <w:rFonts w:eastAsia="Times New Roman"/>
        </w:rPr>
      </w:pPr>
      <w:r>
        <w:rPr>
          <w:rFonts w:eastAsia="Times New Roman"/>
        </w:rPr>
        <w:t xml:space="preserve">Decide on the </w:t>
      </w:r>
      <w:r w:rsidR="00762AE8">
        <w:rPr>
          <w:rFonts w:eastAsia="Times New Roman"/>
        </w:rPr>
        <w:t xml:space="preserve">terms in a controlled vocabulary for quantityType. </w:t>
      </w:r>
      <w:r w:rsidR="003632AD">
        <w:rPr>
          <w:rFonts w:eastAsia="Times New Roman"/>
        </w:rPr>
        <w:t xml:space="preserve">Examples: </w:t>
      </w:r>
      <w:r w:rsidR="003632AD">
        <w:rPr>
          <w:rFonts w:ascii="Calibri" w:eastAsia="Times New Roman" w:hAnsi="Calibri"/>
        </w:rPr>
        <w:t>% of species, % of biovolume, % of biomass, individuals/l, in</w:t>
      </w:r>
      <w:r w:rsidR="002047B7">
        <w:rPr>
          <w:rFonts w:ascii="Calibri" w:eastAsia="Times New Roman" w:hAnsi="Calibri"/>
        </w:rPr>
        <w:t>dividuals/m^2, individuals/m^3</w:t>
      </w:r>
      <w:r w:rsidR="003632AD">
        <w:rPr>
          <w:rFonts w:ascii="Calibri" w:eastAsia="Times New Roman" w:hAnsi="Calibri"/>
        </w:rPr>
        <w:t xml:space="preserve">, </w:t>
      </w:r>
      <w:r w:rsidR="002047B7">
        <w:rPr>
          <w:rFonts w:ascii="Calibri" w:eastAsia="Times New Roman" w:hAnsi="Calibri"/>
        </w:rPr>
        <w:t xml:space="preserve">individuals per day, </w:t>
      </w:r>
      <w:r w:rsidR="003632AD">
        <w:rPr>
          <w:rFonts w:ascii="Calibri" w:eastAsia="Times New Roman" w:hAnsi="Calibri"/>
        </w:rPr>
        <w:t>etc.</w:t>
      </w:r>
    </w:p>
    <w:p w:rsidR="006550D8" w:rsidRPr="006550D8" w:rsidRDefault="006550D8" w:rsidP="00FB40B0">
      <w:pPr>
        <w:pStyle w:val="Heading2"/>
        <w:rPr>
          <w:rFonts w:eastAsia="Times New Roman"/>
        </w:rPr>
      </w:pPr>
      <w:bookmarkStart w:id="6" w:name="_Toc381697633"/>
      <w:r>
        <w:rPr>
          <w:rFonts w:eastAsia="Times New Roman"/>
        </w:rPr>
        <w:t>Publishing</w:t>
      </w:r>
      <w:bookmarkEnd w:id="6"/>
    </w:p>
    <w:p w:rsidR="006550D8" w:rsidRDefault="006550D8" w:rsidP="006550D8">
      <w:pPr>
        <w:pStyle w:val="ListParagraph"/>
        <w:numPr>
          <w:ilvl w:val="0"/>
          <w:numId w:val="7"/>
        </w:numPr>
        <w:rPr>
          <w:rFonts w:eastAsia="Times New Roman"/>
        </w:rPr>
      </w:pPr>
      <w:r>
        <w:rPr>
          <w:rFonts w:eastAsia="Times New Roman"/>
        </w:rPr>
        <w:t>Set up a test instance of the IPT so that it recognises the new sample core and use it to prepare s</w:t>
      </w:r>
      <w:r w:rsidR="009B73AB">
        <w:rPr>
          <w:rFonts w:eastAsia="Times New Roman"/>
        </w:rPr>
        <w:t>ome data sets for publication. T</w:t>
      </w:r>
      <w:r>
        <w:rPr>
          <w:rFonts w:eastAsia="Times New Roman"/>
        </w:rPr>
        <w:t xml:space="preserve">his will require </w:t>
      </w:r>
      <w:r w:rsidR="00447B1B">
        <w:rPr>
          <w:rFonts w:eastAsia="Times New Roman"/>
        </w:rPr>
        <w:t>some re-coding</w:t>
      </w:r>
      <w:r w:rsidR="009B73AB">
        <w:rPr>
          <w:rFonts w:eastAsia="Times New Roman"/>
        </w:rPr>
        <w:t xml:space="preserve"> of the IPT by GBIF</w:t>
      </w:r>
      <w:r>
        <w:rPr>
          <w:rFonts w:eastAsia="Times New Roman"/>
        </w:rPr>
        <w:t>.</w:t>
      </w:r>
    </w:p>
    <w:p w:rsidR="006550D8" w:rsidRDefault="00116771" w:rsidP="006550D8">
      <w:pPr>
        <w:pStyle w:val="ListParagraph"/>
        <w:numPr>
          <w:ilvl w:val="0"/>
          <w:numId w:val="7"/>
        </w:numPr>
        <w:rPr>
          <w:rFonts w:eastAsia="Times New Roman"/>
        </w:rPr>
      </w:pPr>
      <w:r w:rsidRPr="006550D8">
        <w:rPr>
          <w:rFonts w:eastAsia="Times New Roman"/>
        </w:rPr>
        <w:t xml:space="preserve">Identify </w:t>
      </w:r>
      <w:r w:rsidR="00950F79">
        <w:rPr>
          <w:rFonts w:eastAsia="Times New Roman"/>
        </w:rPr>
        <w:t>at least 5</w:t>
      </w:r>
      <w:r w:rsidRPr="006550D8">
        <w:rPr>
          <w:rFonts w:eastAsia="Times New Roman"/>
        </w:rPr>
        <w:t xml:space="preserve"> uses cases where data publishers want to use/extend DwC for publishing sample based data using the above model. </w:t>
      </w:r>
      <w:r w:rsidR="007955BB">
        <w:rPr>
          <w:rFonts w:eastAsia="Times New Roman"/>
        </w:rPr>
        <w:t>Invite</w:t>
      </w:r>
      <w:r w:rsidRPr="006550D8">
        <w:rPr>
          <w:rFonts w:eastAsia="Times New Roman"/>
        </w:rPr>
        <w:t xml:space="preserve"> EU BO</w:t>
      </w:r>
      <w:r w:rsidR="00F65FD7">
        <w:rPr>
          <w:rFonts w:eastAsia="Times New Roman"/>
        </w:rPr>
        <w:t xml:space="preserve">N partners to act </w:t>
      </w:r>
      <w:r w:rsidRPr="006550D8">
        <w:rPr>
          <w:rFonts w:eastAsia="Times New Roman"/>
        </w:rPr>
        <w:t>as publishers.</w:t>
      </w:r>
      <w:r w:rsidR="003632AD" w:rsidRPr="006550D8">
        <w:rPr>
          <w:rFonts w:eastAsia="Times New Roman"/>
        </w:rPr>
        <w:t xml:space="preserve"> The five LTER sites would be good candidates for publishing sample data as they are likely to share a common sampling protocol. </w:t>
      </w:r>
      <w:r w:rsidR="00DC4E6F">
        <w:rPr>
          <w:rFonts w:eastAsia="Times New Roman"/>
        </w:rPr>
        <w:t xml:space="preserve"> </w:t>
      </w:r>
    </w:p>
    <w:p w:rsidR="00BA5A4B" w:rsidRDefault="00BA5A4B" w:rsidP="006550D8">
      <w:pPr>
        <w:pStyle w:val="ListParagraph"/>
        <w:numPr>
          <w:ilvl w:val="0"/>
          <w:numId w:val="7"/>
        </w:numPr>
        <w:rPr>
          <w:rFonts w:eastAsia="Times New Roman"/>
        </w:rPr>
      </w:pPr>
      <w:r>
        <w:t>Ensure that each sample data set has complete metadata in EML including full description of p</w:t>
      </w:r>
      <w:r w:rsidR="00F65FD7">
        <w:t>roject,</w:t>
      </w:r>
      <w:r>
        <w:t xml:space="preserve"> sampling protocols and methods.</w:t>
      </w:r>
    </w:p>
    <w:p w:rsidR="006550D8" w:rsidRDefault="006550D8" w:rsidP="00FB40B0">
      <w:pPr>
        <w:pStyle w:val="Heading2"/>
        <w:rPr>
          <w:rFonts w:eastAsia="Times New Roman"/>
        </w:rPr>
      </w:pPr>
      <w:bookmarkStart w:id="7" w:name="_Toc381697634"/>
      <w:r>
        <w:rPr>
          <w:rFonts w:eastAsia="Times New Roman"/>
        </w:rPr>
        <w:t>Discovery and access</w:t>
      </w:r>
      <w:bookmarkEnd w:id="7"/>
    </w:p>
    <w:p w:rsidR="00BA5A4B" w:rsidRDefault="00BA5A4B" w:rsidP="00BA5A4B">
      <w:r>
        <w:t xml:space="preserve">It </w:t>
      </w:r>
      <w:r w:rsidR="007102C7">
        <w:t>will be</w:t>
      </w:r>
      <w:r>
        <w:t xml:space="preserve"> necessary to demonstrate access to sample data elements through the </w:t>
      </w:r>
      <w:r w:rsidR="007955BB">
        <w:t>EU BON</w:t>
      </w:r>
      <w:r>
        <w:t xml:space="preserve"> portal and services. This requires indexing of the new properties associated with sample based data sets (</w:t>
      </w:r>
      <w:r w:rsidR="00F85BE8">
        <w:t xml:space="preserve">viz </w:t>
      </w:r>
      <w:r w:rsidRPr="00F65FD7">
        <w:rPr>
          <w:i/>
        </w:rPr>
        <w:t>eventID</w:t>
      </w:r>
      <w:r>
        <w:t>,</w:t>
      </w:r>
      <w:r w:rsidR="00950F79">
        <w:t xml:space="preserve"> </w:t>
      </w:r>
      <w:r w:rsidR="00950F79" w:rsidRPr="00950F79">
        <w:rPr>
          <w:i/>
        </w:rPr>
        <w:t>eventSeries</w:t>
      </w:r>
      <w:r w:rsidR="00950F79">
        <w:t>,</w:t>
      </w:r>
      <w:r>
        <w:t xml:space="preserve"> </w:t>
      </w:r>
      <w:r w:rsidRPr="00F65FD7">
        <w:rPr>
          <w:i/>
        </w:rPr>
        <w:t>samplingProtocol</w:t>
      </w:r>
      <w:r>
        <w:t xml:space="preserve">, </w:t>
      </w:r>
      <w:r w:rsidRPr="00F65FD7">
        <w:rPr>
          <w:i/>
        </w:rPr>
        <w:t>quantity</w:t>
      </w:r>
      <w:r>
        <w:t xml:space="preserve">, </w:t>
      </w:r>
      <w:r w:rsidRPr="00F65FD7">
        <w:rPr>
          <w:i/>
        </w:rPr>
        <w:t>quantityType</w:t>
      </w:r>
      <w:r>
        <w:t>)</w:t>
      </w:r>
      <w:r w:rsidR="00F85BE8">
        <w:t xml:space="preserve"> so information about them can be retrieved through a search filter (in combination with other search parameters already available in the portal)</w:t>
      </w:r>
      <w:r>
        <w:t>.</w:t>
      </w:r>
    </w:p>
    <w:p w:rsidR="00C86D84" w:rsidRPr="00BA5A4B" w:rsidRDefault="00C86D84" w:rsidP="00C86D84">
      <w:pPr>
        <w:pStyle w:val="Heading3"/>
      </w:pPr>
      <w:r>
        <w:t>Desirable functionality</w:t>
      </w:r>
    </w:p>
    <w:p w:rsidR="00BA5A4B" w:rsidRDefault="00BC61BB" w:rsidP="00BA5A4B">
      <w:pPr>
        <w:pStyle w:val="ListParagraph"/>
        <w:numPr>
          <w:ilvl w:val="0"/>
          <w:numId w:val="8"/>
        </w:numPr>
      </w:pPr>
      <w:r>
        <w:t>Portal index</w:t>
      </w:r>
      <w:r w:rsidR="00F65FD7">
        <w:t>es</w:t>
      </w:r>
      <w:r>
        <w:t xml:space="preserve"> new DwC elements</w:t>
      </w:r>
    </w:p>
    <w:p w:rsidR="00BC61BB" w:rsidRDefault="00BC61BB" w:rsidP="00BA5A4B">
      <w:pPr>
        <w:pStyle w:val="ListParagraph"/>
        <w:numPr>
          <w:ilvl w:val="0"/>
          <w:numId w:val="8"/>
        </w:numPr>
      </w:pPr>
      <w:r>
        <w:t xml:space="preserve">Ability to filter on a core (sample </w:t>
      </w:r>
      <w:r w:rsidR="007A3B71">
        <w:t>vs.</w:t>
      </w:r>
      <w:r>
        <w:t xml:space="preserve"> occurrence or taxon)</w:t>
      </w:r>
    </w:p>
    <w:p w:rsidR="00BC61BB" w:rsidRDefault="00BC61BB" w:rsidP="00BA5A4B">
      <w:pPr>
        <w:pStyle w:val="ListParagraph"/>
        <w:numPr>
          <w:ilvl w:val="0"/>
          <w:numId w:val="8"/>
        </w:numPr>
      </w:pPr>
      <w:r>
        <w:t>Ability to select records associated with a particular sampling protocol (use drop down list?)</w:t>
      </w:r>
    </w:p>
    <w:p w:rsidR="00BC61BB" w:rsidRDefault="00BC61BB" w:rsidP="00F65FD7">
      <w:pPr>
        <w:pStyle w:val="ListParagraph"/>
        <w:numPr>
          <w:ilvl w:val="0"/>
          <w:numId w:val="8"/>
        </w:numPr>
      </w:pPr>
      <w:r>
        <w:t>Ability to select records associated with a particular quantityType</w:t>
      </w:r>
      <w:r w:rsidR="00F65FD7">
        <w:t xml:space="preserve"> (use drop down list?)</w:t>
      </w:r>
    </w:p>
    <w:p w:rsidR="00BC61BB" w:rsidRDefault="00BC61BB" w:rsidP="00BA5A4B">
      <w:pPr>
        <w:pStyle w:val="ListParagraph"/>
        <w:numPr>
          <w:ilvl w:val="0"/>
          <w:numId w:val="8"/>
        </w:numPr>
      </w:pPr>
      <w:r>
        <w:t>Automate workflow for BioVel</w:t>
      </w:r>
    </w:p>
    <w:p w:rsidR="00BC61BB" w:rsidRDefault="00BC61BB" w:rsidP="00BC61BB">
      <w:pPr>
        <w:pStyle w:val="ListParagraph"/>
        <w:numPr>
          <w:ilvl w:val="1"/>
          <w:numId w:val="8"/>
        </w:numPr>
      </w:pPr>
      <w:r>
        <w:t>Ability to select sampling protocol via web service (e.g. an LTER sites protocol)</w:t>
      </w:r>
    </w:p>
    <w:p w:rsidR="00BC61BB" w:rsidRDefault="00BC61BB" w:rsidP="00BC61BB">
      <w:pPr>
        <w:pStyle w:val="ListParagraph"/>
        <w:numPr>
          <w:ilvl w:val="1"/>
          <w:numId w:val="8"/>
        </w:numPr>
      </w:pPr>
      <w:r>
        <w:t>Ability to return records associated with the selected sampling protocol (with other arbitrary filters</w:t>
      </w:r>
    </w:p>
    <w:p w:rsidR="00D42F1B" w:rsidRDefault="00F01818" w:rsidP="00D42F1B">
      <w:pPr>
        <w:pStyle w:val="ListParagraph"/>
        <w:numPr>
          <w:ilvl w:val="1"/>
          <w:numId w:val="8"/>
        </w:numPr>
      </w:pPr>
      <w:r>
        <w:t>BioVel consumes sample data and does something interesting (e.g., calculates a Biodiversity Indicator).</w:t>
      </w:r>
    </w:p>
    <w:p w:rsidR="00AB4314" w:rsidRPr="00F65FD7" w:rsidRDefault="00AB4314" w:rsidP="00AB4314">
      <w:pPr>
        <w:ind w:left="1080"/>
      </w:pPr>
    </w:p>
    <w:sectPr w:rsidR="00AB4314" w:rsidRPr="00F65FD7" w:rsidSect="00DD4A4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1B8" w:rsidRDefault="000611B8" w:rsidP="0099759E">
      <w:pPr>
        <w:spacing w:after="0" w:line="240" w:lineRule="auto"/>
      </w:pPr>
      <w:r>
        <w:separator/>
      </w:r>
    </w:p>
  </w:endnote>
  <w:endnote w:type="continuationSeparator" w:id="0">
    <w:p w:rsidR="000611B8" w:rsidRDefault="000611B8" w:rsidP="00997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3061"/>
      <w:docPartObj>
        <w:docPartGallery w:val="Page Numbers (Bottom of Page)"/>
        <w:docPartUnique/>
      </w:docPartObj>
    </w:sdtPr>
    <w:sdtContent>
      <w:p w:rsidR="00220D92" w:rsidRDefault="007102C7" w:rsidP="00496C68">
        <w:pPr>
          <w:pStyle w:val="Footer"/>
        </w:pPr>
        <w:r>
          <w:rPr>
            <w:sz w:val="18"/>
            <w:szCs w:val="18"/>
          </w:rPr>
          <w:t>GBIF   15</w:t>
        </w:r>
        <w:r w:rsidR="0045474C">
          <w:rPr>
            <w:sz w:val="18"/>
            <w:szCs w:val="18"/>
          </w:rPr>
          <w:t>/04</w:t>
        </w:r>
        <w:r w:rsidR="00220D92" w:rsidRPr="00BC60CF">
          <w:rPr>
            <w:sz w:val="18"/>
            <w:szCs w:val="18"/>
          </w:rPr>
          <w:t xml:space="preserve">/2014                </w:t>
        </w:r>
        <w:r w:rsidR="00220D92">
          <w:t xml:space="preserve">               </w:t>
        </w:r>
        <w:r w:rsidR="00220D92" w:rsidRPr="00BC60CF">
          <w:t xml:space="preserve">                                                                                        </w:t>
        </w:r>
        <w:r w:rsidR="00220D92">
          <w:t xml:space="preserve">              </w:t>
        </w:r>
        <w:fldSimple w:instr=" PAGE   \* MERGEFORMAT ">
          <w:r w:rsidR="00E07935">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1B8" w:rsidRDefault="000611B8" w:rsidP="0099759E">
      <w:pPr>
        <w:spacing w:after="0" w:line="240" w:lineRule="auto"/>
      </w:pPr>
      <w:r>
        <w:separator/>
      </w:r>
    </w:p>
  </w:footnote>
  <w:footnote w:type="continuationSeparator" w:id="0">
    <w:p w:rsidR="000611B8" w:rsidRDefault="000611B8" w:rsidP="0099759E">
      <w:pPr>
        <w:spacing w:after="0" w:line="240" w:lineRule="auto"/>
      </w:pPr>
      <w:r>
        <w:continuationSeparator/>
      </w:r>
    </w:p>
  </w:footnote>
  <w:footnote w:id="1">
    <w:p w:rsidR="00220D92" w:rsidRDefault="00220D92" w:rsidP="00A55C92">
      <w:pPr>
        <w:pStyle w:val="FootnoteText"/>
      </w:pPr>
      <w:r>
        <w:rPr>
          <w:rStyle w:val="FootnoteReference"/>
        </w:rPr>
        <w:footnoteRef/>
      </w:r>
      <w:r>
        <w:t xml:space="preserve"> </w:t>
      </w:r>
      <w:hyperlink r:id="rId1" w:history="1">
        <w:r w:rsidR="004E476F" w:rsidRPr="004E476F">
          <w:rPr>
            <w:rStyle w:val="Hyperlink"/>
            <w:sz w:val="18"/>
            <w:szCs w:val="18"/>
          </w:rPr>
          <w:t>http://www.standardsingenomics.org/index.php/sigen/article/view/sigs.4898640/1067</w:t>
        </w:r>
      </w:hyperlink>
      <w:r>
        <w:t xml:space="preserve"> </w:t>
      </w:r>
    </w:p>
  </w:footnote>
  <w:footnote w:id="2">
    <w:p w:rsidR="00220D92" w:rsidRDefault="00220D92" w:rsidP="00D35F63">
      <w:pPr>
        <w:pStyle w:val="FootnoteText"/>
      </w:pPr>
      <w:r>
        <w:rPr>
          <w:rStyle w:val="FootnoteReference"/>
        </w:rPr>
        <w:footnoteRef/>
      </w:r>
      <w:r>
        <w:t xml:space="preserve"> </w:t>
      </w:r>
      <w:hyperlink r:id="rId2" w:history="1">
        <w:r w:rsidRPr="00625041">
          <w:rPr>
            <w:rStyle w:val="Hyperlink"/>
          </w:rPr>
          <w:t>http://rs.tdwg.org/dwc/terms/guides/text/index.htm</w:t>
        </w:r>
      </w:hyperlink>
      <w:r>
        <w:t xml:space="preserve"> </w:t>
      </w:r>
    </w:p>
  </w:footnote>
  <w:footnote w:id="3">
    <w:p w:rsidR="004E476F" w:rsidRDefault="004E476F">
      <w:pPr>
        <w:pStyle w:val="FootnoteText"/>
      </w:pPr>
      <w:r>
        <w:rPr>
          <w:rStyle w:val="FootnoteReference"/>
        </w:rPr>
        <w:footnoteRef/>
      </w:r>
      <w:r>
        <w:t xml:space="preserve"> See the GBIF workshop report referenced on page 1 for </w:t>
      </w:r>
      <w:r w:rsidR="002047B7">
        <w:t xml:space="preserve">discussion of </w:t>
      </w:r>
      <w:r>
        <w:t>an alternative sample core based on the Occurrence core.</w:t>
      </w:r>
    </w:p>
  </w:footnote>
  <w:footnote w:id="4">
    <w:p w:rsidR="00220D92" w:rsidRDefault="00220D92">
      <w:pPr>
        <w:pStyle w:val="FootnoteText"/>
      </w:pPr>
      <w:r>
        <w:rPr>
          <w:rStyle w:val="FootnoteReference"/>
        </w:rPr>
        <w:footnoteRef/>
      </w:r>
      <w:r>
        <w:t xml:space="preserve"> The names “quantity” and “quantityType” are not necessarily those that will be</w:t>
      </w:r>
      <w:r w:rsidR="002047B7">
        <w:t xml:space="preserve"> </w:t>
      </w:r>
      <w:r>
        <w:t>used. Alternatives will also be considered before a final decision is made.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4BE" w:rsidRDefault="002534BE">
    <w:pPr>
      <w:pStyle w:val="Header"/>
    </w:pPr>
    <w:r>
      <w:t xml:space="preserve"> </w:t>
    </w:r>
    <w:r>
      <w:rPr>
        <w:noProof/>
        <w:lang w:eastAsia="en-GB"/>
      </w:rPr>
      <w:drawing>
        <wp:inline distT="0" distB="0" distL="0" distR="0">
          <wp:extent cx="552450" cy="544286"/>
          <wp:effectExtent l="19050" t="0" r="0" b="0"/>
          <wp:docPr id="3" name="Picture 2" descr="GBIFwww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www_5.png"/>
                  <pic:cNvPicPr/>
                </pic:nvPicPr>
                <pic:blipFill>
                  <a:blip r:embed="rId1"/>
                  <a:stretch>
                    <a:fillRect/>
                  </a:stretch>
                </pic:blipFill>
                <pic:spPr>
                  <a:xfrm>
                    <a:off x="0" y="0"/>
                    <a:ext cx="552450" cy="544286"/>
                  </a:xfrm>
                  <a:prstGeom prst="rect">
                    <a:avLst/>
                  </a:prstGeom>
                </pic:spPr>
              </pic:pic>
            </a:graphicData>
          </a:graphic>
        </wp:inline>
      </w:drawing>
    </w:r>
    <w:r>
      <w:t xml:space="preserve">                                                                                       </w:t>
    </w:r>
    <w:r w:rsidR="00CC4C64">
      <w:t xml:space="preserve">                       </w:t>
    </w:r>
    <w:r>
      <w:t xml:space="preserve">     </w:t>
    </w:r>
    <w:r>
      <w:rPr>
        <w:noProof/>
        <w:lang w:eastAsia="en-GB"/>
      </w:rPr>
      <w:drawing>
        <wp:inline distT="0" distB="0" distL="0" distR="0">
          <wp:extent cx="1466850" cy="465346"/>
          <wp:effectExtent l="19050" t="0" r="0" b="0"/>
          <wp:docPr id="2" name="Picture 1" descr="eu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bon.png"/>
                  <pic:cNvPicPr/>
                </pic:nvPicPr>
                <pic:blipFill>
                  <a:blip r:embed="rId2"/>
                  <a:stretch>
                    <a:fillRect/>
                  </a:stretch>
                </pic:blipFill>
                <pic:spPr>
                  <a:xfrm>
                    <a:off x="0" y="0"/>
                    <a:ext cx="1470916" cy="466636"/>
                  </a:xfrm>
                  <a:prstGeom prst="rect">
                    <a:avLst/>
                  </a:prstGeom>
                </pic:spPr>
              </pic:pic>
            </a:graphicData>
          </a:graphic>
        </wp:inline>
      </w:drawing>
    </w:r>
  </w:p>
  <w:p w:rsidR="00C86D84" w:rsidRDefault="00C86D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764"/>
    <w:multiLevelType w:val="hybridMultilevel"/>
    <w:tmpl w:val="6B1CA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47FFC"/>
    <w:multiLevelType w:val="hybridMultilevel"/>
    <w:tmpl w:val="5DE21B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4D1DE9"/>
    <w:multiLevelType w:val="hybridMultilevel"/>
    <w:tmpl w:val="719A90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854031"/>
    <w:multiLevelType w:val="hybridMultilevel"/>
    <w:tmpl w:val="640A6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3732E4"/>
    <w:multiLevelType w:val="hybridMultilevel"/>
    <w:tmpl w:val="C58A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5C4E56"/>
    <w:multiLevelType w:val="hybridMultilevel"/>
    <w:tmpl w:val="11DEC5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4B76EA"/>
    <w:multiLevelType w:val="hybridMultilevel"/>
    <w:tmpl w:val="6E701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33398B"/>
    <w:multiLevelType w:val="hybridMultilevel"/>
    <w:tmpl w:val="6D1AE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2C0918"/>
    <w:multiLevelType w:val="hybridMultilevel"/>
    <w:tmpl w:val="054A2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770323"/>
    <w:rsid w:val="00007065"/>
    <w:rsid w:val="000279F3"/>
    <w:rsid w:val="0003251D"/>
    <w:rsid w:val="0004030B"/>
    <w:rsid w:val="00043B77"/>
    <w:rsid w:val="000611B8"/>
    <w:rsid w:val="00081FC5"/>
    <w:rsid w:val="000876E4"/>
    <w:rsid w:val="0009195C"/>
    <w:rsid w:val="000A2D6B"/>
    <w:rsid w:val="000C48F5"/>
    <w:rsid w:val="000C4A46"/>
    <w:rsid w:val="000E0FB3"/>
    <w:rsid w:val="00116771"/>
    <w:rsid w:val="00126AFA"/>
    <w:rsid w:val="001734DB"/>
    <w:rsid w:val="0019309D"/>
    <w:rsid w:val="001D019B"/>
    <w:rsid w:val="001E283D"/>
    <w:rsid w:val="001F4782"/>
    <w:rsid w:val="002047B7"/>
    <w:rsid w:val="00220D92"/>
    <w:rsid w:val="0022651E"/>
    <w:rsid w:val="002534BE"/>
    <w:rsid w:val="0025525D"/>
    <w:rsid w:val="002B601C"/>
    <w:rsid w:val="00301FCB"/>
    <w:rsid w:val="003220EF"/>
    <w:rsid w:val="00330926"/>
    <w:rsid w:val="00334243"/>
    <w:rsid w:val="003632AD"/>
    <w:rsid w:val="00374045"/>
    <w:rsid w:val="00397CEF"/>
    <w:rsid w:val="003B2173"/>
    <w:rsid w:val="003D45C8"/>
    <w:rsid w:val="003D578F"/>
    <w:rsid w:val="0040557A"/>
    <w:rsid w:val="00415E08"/>
    <w:rsid w:val="0043795B"/>
    <w:rsid w:val="00447970"/>
    <w:rsid w:val="00447B1B"/>
    <w:rsid w:val="004524A4"/>
    <w:rsid w:val="0045474C"/>
    <w:rsid w:val="00457C6B"/>
    <w:rsid w:val="004857E5"/>
    <w:rsid w:val="00486FD4"/>
    <w:rsid w:val="00493798"/>
    <w:rsid w:val="00496C68"/>
    <w:rsid w:val="004A6C9B"/>
    <w:rsid w:val="004C3371"/>
    <w:rsid w:val="004E0E6F"/>
    <w:rsid w:val="004E476F"/>
    <w:rsid w:val="00500724"/>
    <w:rsid w:val="005104E2"/>
    <w:rsid w:val="00511900"/>
    <w:rsid w:val="00524BC0"/>
    <w:rsid w:val="005251B5"/>
    <w:rsid w:val="00530C06"/>
    <w:rsid w:val="00535C32"/>
    <w:rsid w:val="00547DA3"/>
    <w:rsid w:val="0059354D"/>
    <w:rsid w:val="005A0EBC"/>
    <w:rsid w:val="005A2080"/>
    <w:rsid w:val="005B06AC"/>
    <w:rsid w:val="005B7EC8"/>
    <w:rsid w:val="005E6568"/>
    <w:rsid w:val="005F1E55"/>
    <w:rsid w:val="00603FD9"/>
    <w:rsid w:val="00605A09"/>
    <w:rsid w:val="0061129E"/>
    <w:rsid w:val="00615A49"/>
    <w:rsid w:val="00627E9F"/>
    <w:rsid w:val="00650F51"/>
    <w:rsid w:val="006550D8"/>
    <w:rsid w:val="0065725B"/>
    <w:rsid w:val="00665698"/>
    <w:rsid w:val="006B300B"/>
    <w:rsid w:val="006D25FE"/>
    <w:rsid w:val="007012FC"/>
    <w:rsid w:val="007035A8"/>
    <w:rsid w:val="007102C7"/>
    <w:rsid w:val="0071632E"/>
    <w:rsid w:val="00722F03"/>
    <w:rsid w:val="00762AE8"/>
    <w:rsid w:val="00770323"/>
    <w:rsid w:val="007955BB"/>
    <w:rsid w:val="00797A11"/>
    <w:rsid w:val="007A3B71"/>
    <w:rsid w:val="007A4D27"/>
    <w:rsid w:val="007B35E7"/>
    <w:rsid w:val="007F1687"/>
    <w:rsid w:val="0081581C"/>
    <w:rsid w:val="0082481F"/>
    <w:rsid w:val="008325A8"/>
    <w:rsid w:val="00867AEC"/>
    <w:rsid w:val="0087520C"/>
    <w:rsid w:val="00875DCA"/>
    <w:rsid w:val="008A1228"/>
    <w:rsid w:val="008A45CD"/>
    <w:rsid w:val="008C0226"/>
    <w:rsid w:val="008D5E20"/>
    <w:rsid w:val="008F099B"/>
    <w:rsid w:val="00934824"/>
    <w:rsid w:val="00934E78"/>
    <w:rsid w:val="0094564E"/>
    <w:rsid w:val="00950F79"/>
    <w:rsid w:val="00952123"/>
    <w:rsid w:val="00960F0A"/>
    <w:rsid w:val="00981EC4"/>
    <w:rsid w:val="0099759E"/>
    <w:rsid w:val="009B73AB"/>
    <w:rsid w:val="009C7CA6"/>
    <w:rsid w:val="009D30C8"/>
    <w:rsid w:val="009F17D2"/>
    <w:rsid w:val="00A33D96"/>
    <w:rsid w:val="00A3472D"/>
    <w:rsid w:val="00A51E55"/>
    <w:rsid w:val="00A55C92"/>
    <w:rsid w:val="00A667E5"/>
    <w:rsid w:val="00A85714"/>
    <w:rsid w:val="00A94326"/>
    <w:rsid w:val="00AB0BA7"/>
    <w:rsid w:val="00AB2137"/>
    <w:rsid w:val="00AB220E"/>
    <w:rsid w:val="00AB4314"/>
    <w:rsid w:val="00AD0939"/>
    <w:rsid w:val="00AD2584"/>
    <w:rsid w:val="00B0125D"/>
    <w:rsid w:val="00B123DE"/>
    <w:rsid w:val="00B12BC5"/>
    <w:rsid w:val="00B148BC"/>
    <w:rsid w:val="00B242BC"/>
    <w:rsid w:val="00B50982"/>
    <w:rsid w:val="00B53EB9"/>
    <w:rsid w:val="00B60ED6"/>
    <w:rsid w:val="00B62FB5"/>
    <w:rsid w:val="00BA5A4B"/>
    <w:rsid w:val="00BC19D1"/>
    <w:rsid w:val="00BC29CA"/>
    <w:rsid w:val="00BC60CF"/>
    <w:rsid w:val="00BC61BB"/>
    <w:rsid w:val="00BD0A4F"/>
    <w:rsid w:val="00BD5800"/>
    <w:rsid w:val="00BF53B8"/>
    <w:rsid w:val="00C17D7B"/>
    <w:rsid w:val="00C86D84"/>
    <w:rsid w:val="00CA79A0"/>
    <w:rsid w:val="00CB0C8B"/>
    <w:rsid w:val="00CC4C64"/>
    <w:rsid w:val="00D166D2"/>
    <w:rsid w:val="00D31255"/>
    <w:rsid w:val="00D35F63"/>
    <w:rsid w:val="00D42F1B"/>
    <w:rsid w:val="00D7533B"/>
    <w:rsid w:val="00DA10E5"/>
    <w:rsid w:val="00DA7552"/>
    <w:rsid w:val="00DC4E6F"/>
    <w:rsid w:val="00DD033D"/>
    <w:rsid w:val="00DD4A45"/>
    <w:rsid w:val="00DE6CC4"/>
    <w:rsid w:val="00E01F88"/>
    <w:rsid w:val="00E02923"/>
    <w:rsid w:val="00E0404C"/>
    <w:rsid w:val="00E07935"/>
    <w:rsid w:val="00E17E48"/>
    <w:rsid w:val="00E4531A"/>
    <w:rsid w:val="00E45377"/>
    <w:rsid w:val="00E64B19"/>
    <w:rsid w:val="00EA5874"/>
    <w:rsid w:val="00EB6589"/>
    <w:rsid w:val="00ED737F"/>
    <w:rsid w:val="00EE1811"/>
    <w:rsid w:val="00EE2137"/>
    <w:rsid w:val="00EF37E3"/>
    <w:rsid w:val="00F01818"/>
    <w:rsid w:val="00F21985"/>
    <w:rsid w:val="00F324B9"/>
    <w:rsid w:val="00F35CA5"/>
    <w:rsid w:val="00F65FD7"/>
    <w:rsid w:val="00F76AC7"/>
    <w:rsid w:val="00F83D6B"/>
    <w:rsid w:val="00F85BE8"/>
    <w:rsid w:val="00FB17F3"/>
    <w:rsid w:val="00FB21EB"/>
    <w:rsid w:val="00FB40B0"/>
    <w:rsid w:val="00FE5B1C"/>
    <w:rsid w:val="00FF23E8"/>
    <w:rsid w:val="00FF26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A45"/>
  </w:style>
  <w:style w:type="paragraph" w:styleId="Heading1">
    <w:name w:val="heading 1"/>
    <w:basedOn w:val="Normal"/>
    <w:next w:val="Normal"/>
    <w:link w:val="Heading1Char"/>
    <w:uiPriority w:val="9"/>
    <w:qFormat/>
    <w:rsid w:val="00875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5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3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2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70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29CA"/>
    <w:pPr>
      <w:ind w:left="720"/>
      <w:contextualSpacing/>
    </w:pPr>
  </w:style>
  <w:style w:type="paragraph" w:styleId="FootnoteText">
    <w:name w:val="footnote text"/>
    <w:basedOn w:val="Normal"/>
    <w:link w:val="FootnoteTextChar"/>
    <w:uiPriority w:val="99"/>
    <w:semiHidden/>
    <w:unhideWhenUsed/>
    <w:rsid w:val="00997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59E"/>
    <w:rPr>
      <w:sz w:val="20"/>
      <w:szCs w:val="20"/>
    </w:rPr>
  </w:style>
  <w:style w:type="character" w:styleId="FootnoteReference">
    <w:name w:val="footnote reference"/>
    <w:basedOn w:val="DefaultParagraphFont"/>
    <w:uiPriority w:val="99"/>
    <w:semiHidden/>
    <w:unhideWhenUsed/>
    <w:rsid w:val="0099759E"/>
    <w:rPr>
      <w:vertAlign w:val="superscript"/>
    </w:rPr>
  </w:style>
  <w:style w:type="character" w:styleId="Hyperlink">
    <w:name w:val="Hyperlink"/>
    <w:basedOn w:val="DefaultParagraphFont"/>
    <w:uiPriority w:val="99"/>
    <w:unhideWhenUsed/>
    <w:rsid w:val="0099759E"/>
    <w:rPr>
      <w:color w:val="0000FF" w:themeColor="hyperlink"/>
      <w:u w:val="single"/>
    </w:rPr>
  </w:style>
  <w:style w:type="character" w:customStyle="1" w:styleId="Heading1Char">
    <w:name w:val="Heading 1 Char"/>
    <w:basedOn w:val="DefaultParagraphFont"/>
    <w:link w:val="Heading1"/>
    <w:uiPriority w:val="9"/>
    <w:rsid w:val="008752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C19D1"/>
    <w:pPr>
      <w:outlineLvl w:val="9"/>
    </w:pPr>
    <w:rPr>
      <w:lang w:val="en-US"/>
    </w:rPr>
  </w:style>
  <w:style w:type="paragraph" w:styleId="TOC1">
    <w:name w:val="toc 1"/>
    <w:basedOn w:val="Normal"/>
    <w:next w:val="Normal"/>
    <w:autoRedefine/>
    <w:uiPriority w:val="39"/>
    <w:unhideWhenUsed/>
    <w:rsid w:val="00BC19D1"/>
    <w:pPr>
      <w:spacing w:after="100"/>
    </w:pPr>
  </w:style>
  <w:style w:type="paragraph" w:styleId="BalloonText">
    <w:name w:val="Balloon Text"/>
    <w:basedOn w:val="Normal"/>
    <w:link w:val="BalloonTextChar"/>
    <w:uiPriority w:val="99"/>
    <w:semiHidden/>
    <w:unhideWhenUsed/>
    <w:rsid w:val="00B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9D1"/>
    <w:rPr>
      <w:rFonts w:ascii="Tahoma" w:hAnsi="Tahoma" w:cs="Tahoma"/>
      <w:sz w:val="16"/>
      <w:szCs w:val="16"/>
    </w:rPr>
  </w:style>
  <w:style w:type="character" w:customStyle="1" w:styleId="Heading2Char">
    <w:name w:val="Heading 2 Char"/>
    <w:basedOn w:val="DefaultParagraphFont"/>
    <w:link w:val="Heading2"/>
    <w:uiPriority w:val="9"/>
    <w:rsid w:val="008A45C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30C8"/>
    <w:pPr>
      <w:spacing w:after="100"/>
      <w:ind w:left="220"/>
    </w:pPr>
  </w:style>
  <w:style w:type="paragraph" w:styleId="Caption">
    <w:name w:val="caption"/>
    <w:basedOn w:val="Normal"/>
    <w:next w:val="Normal"/>
    <w:uiPriority w:val="35"/>
    <w:unhideWhenUsed/>
    <w:qFormat/>
    <w:rsid w:val="007F1687"/>
    <w:pPr>
      <w:spacing w:line="240" w:lineRule="auto"/>
    </w:pPr>
    <w:rPr>
      <w:b/>
      <w:bCs/>
      <w:color w:val="4F81BD" w:themeColor="accent1"/>
      <w:sz w:val="18"/>
      <w:szCs w:val="18"/>
    </w:rPr>
  </w:style>
  <w:style w:type="paragraph" w:styleId="Header">
    <w:name w:val="header"/>
    <w:basedOn w:val="Normal"/>
    <w:link w:val="HeaderChar"/>
    <w:uiPriority w:val="99"/>
    <w:unhideWhenUsed/>
    <w:rsid w:val="00F35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CA5"/>
  </w:style>
  <w:style w:type="paragraph" w:styleId="Footer">
    <w:name w:val="footer"/>
    <w:basedOn w:val="Normal"/>
    <w:link w:val="FooterChar"/>
    <w:uiPriority w:val="99"/>
    <w:unhideWhenUsed/>
    <w:rsid w:val="00F35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CA5"/>
  </w:style>
  <w:style w:type="character" w:styleId="FollowedHyperlink">
    <w:name w:val="FollowedHyperlink"/>
    <w:basedOn w:val="DefaultParagraphFont"/>
    <w:uiPriority w:val="99"/>
    <w:semiHidden/>
    <w:unhideWhenUsed/>
    <w:rsid w:val="0009195C"/>
    <w:rPr>
      <w:color w:val="800080" w:themeColor="followedHyperlink"/>
      <w:u w:val="single"/>
    </w:rPr>
  </w:style>
  <w:style w:type="character" w:customStyle="1" w:styleId="Heading3Char">
    <w:name w:val="Heading 3 Char"/>
    <w:basedOn w:val="DefaultParagraphFont"/>
    <w:link w:val="Heading3"/>
    <w:uiPriority w:val="9"/>
    <w:rsid w:val="006550D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1632E"/>
    <w:pPr>
      <w:spacing w:after="100"/>
      <w:ind w:left="440"/>
    </w:pPr>
  </w:style>
</w:styles>
</file>

<file path=word/webSettings.xml><?xml version="1.0" encoding="utf-8"?>
<w:webSettings xmlns:r="http://schemas.openxmlformats.org/officeDocument/2006/relationships" xmlns:w="http://schemas.openxmlformats.org/wordprocessingml/2006/main">
  <w:divs>
    <w:div w:id="517813572">
      <w:bodyDiv w:val="1"/>
      <w:marLeft w:val="0"/>
      <w:marRight w:val="0"/>
      <w:marTop w:val="0"/>
      <w:marBottom w:val="0"/>
      <w:divBdr>
        <w:top w:val="none" w:sz="0" w:space="0" w:color="auto"/>
        <w:left w:val="none" w:sz="0" w:space="0" w:color="auto"/>
        <w:bottom w:val="none" w:sz="0" w:space="0" w:color="auto"/>
        <w:right w:val="none" w:sz="0" w:space="0" w:color="auto"/>
      </w:divBdr>
    </w:div>
    <w:div w:id="932663266">
      <w:bodyDiv w:val="1"/>
      <w:marLeft w:val="0"/>
      <w:marRight w:val="0"/>
      <w:marTop w:val="0"/>
      <w:marBottom w:val="0"/>
      <w:divBdr>
        <w:top w:val="none" w:sz="0" w:space="0" w:color="auto"/>
        <w:left w:val="none" w:sz="0" w:space="0" w:color="auto"/>
        <w:bottom w:val="none" w:sz="0" w:space="0" w:color="auto"/>
        <w:right w:val="none" w:sz="0" w:space="0" w:color="auto"/>
      </w:divBdr>
    </w:div>
    <w:div w:id="1070613209">
      <w:bodyDiv w:val="1"/>
      <w:marLeft w:val="0"/>
      <w:marRight w:val="0"/>
      <w:marTop w:val="0"/>
      <w:marBottom w:val="0"/>
      <w:divBdr>
        <w:top w:val="none" w:sz="0" w:space="0" w:color="auto"/>
        <w:left w:val="none" w:sz="0" w:space="0" w:color="auto"/>
        <w:bottom w:val="none" w:sz="0" w:space="0" w:color="auto"/>
        <w:right w:val="none" w:sz="0" w:space="0" w:color="auto"/>
      </w:divBdr>
    </w:div>
    <w:div w:id="1380788598">
      <w:bodyDiv w:val="1"/>
      <w:marLeft w:val="0"/>
      <w:marRight w:val="0"/>
      <w:marTop w:val="0"/>
      <w:marBottom w:val="0"/>
      <w:divBdr>
        <w:top w:val="none" w:sz="0" w:space="0" w:color="auto"/>
        <w:left w:val="none" w:sz="0" w:space="0" w:color="auto"/>
        <w:bottom w:val="none" w:sz="0" w:space="0" w:color="auto"/>
        <w:right w:val="none" w:sz="0" w:space="0" w:color="auto"/>
      </w:divBdr>
    </w:div>
    <w:div w:id="14731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rs.tdwg.org/dwc/terms/guides/text/index.htm" TargetMode="External"/><Relationship Id="rId1" Type="http://schemas.openxmlformats.org/officeDocument/2006/relationships/hyperlink" Target="http://www.standardsingenomics.org/index.php/sigen/article/view/sigs.4898640/106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06DBF-38BD-49F8-8637-38DB70DD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eotuama</dc:creator>
  <cp:lastModifiedBy>eotuama</cp:lastModifiedBy>
  <cp:revision>25</cp:revision>
  <cp:lastPrinted>2014-01-29T13:27:00Z</cp:lastPrinted>
  <dcterms:created xsi:type="dcterms:W3CDTF">2014-03-04T10:54:00Z</dcterms:created>
  <dcterms:modified xsi:type="dcterms:W3CDTF">2014-04-15T11:53:00Z</dcterms:modified>
</cp:coreProperties>
</file>