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lastRenderedPageBreak/>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lastRenderedPageBreak/>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lastRenderedPageBreak/>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w:t>
      </w:r>
      <w:r w:rsidR="008E149D">
        <w:rPr>
          <w:rFonts w:hint="cs"/>
          <w:rtl/>
          <w:lang w:bidi="fa-IR"/>
        </w:rPr>
        <w:lastRenderedPageBreak/>
        <w:t xml:space="preserve">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lastRenderedPageBreak/>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lastRenderedPageBreak/>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lastRenderedPageBreak/>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lastRenderedPageBreak/>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lastRenderedPageBreak/>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DD0069">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lastRenderedPageBreak/>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lastRenderedPageBreak/>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lastRenderedPageBreak/>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lastRenderedPageBreak/>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 xml:space="preserve">درباره وضعیتها </w:t>
      </w:r>
      <w:r w:rsidR="00DE0B91">
        <w:rPr>
          <w:rFonts w:hint="cs"/>
          <w:rtl/>
          <w:lang w:bidi="fa-IR"/>
        </w:rPr>
        <w:lastRenderedPageBreak/>
        <w:t>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lastRenderedPageBreak/>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lastRenderedPageBreak/>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E64A71">
      <w:pPr>
        <w:pStyle w:val="ListParagraph"/>
        <w:numPr>
          <w:ilvl w:val="0"/>
          <w:numId w:val="54"/>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lastRenderedPageBreak/>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lastRenderedPageBreak/>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lastRenderedPageBreak/>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w:t>
      </w:r>
      <w:r w:rsidR="00F84D0E">
        <w:rPr>
          <w:rFonts w:hint="cs"/>
          <w:rtl/>
          <w:lang w:bidi="fa-IR"/>
        </w:rPr>
        <w:lastRenderedPageBreak/>
        <w:t>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Fonts w:hint="cs"/>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w:t>
      </w:r>
      <w:r>
        <w:rPr>
          <w:rFonts w:hint="cs"/>
          <w:rtl/>
          <w:lang w:bidi="fa-IR"/>
        </w:rPr>
        <w:t xml:space="preserve">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w:t>
      </w:r>
      <w:r>
        <w:rPr>
          <w:rFonts w:hint="cs"/>
          <w:rtl/>
          <w:lang w:bidi="fa-IR"/>
        </w:rPr>
        <w:t>بل عمل می شود. یعنی اگر داده اصیل</w:t>
      </w:r>
      <w:r>
        <w:rPr>
          <w:rFonts w:hint="cs"/>
          <w:rtl/>
          <w:lang w:bidi="fa-IR"/>
        </w:rPr>
        <w:t xml:space="preserve">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w:t>
      </w:r>
      <w:r>
        <w:rPr>
          <w:rFonts w:hint="cs"/>
          <w:rtl/>
          <w:lang w:bidi="fa-IR"/>
        </w:rPr>
        <w:t xml:space="preserve"> فقط خواندنی نمودن رابطه ریشه نیز  </w:t>
      </w:r>
      <w:r>
        <w:rPr>
          <w:rFonts w:hint="cs"/>
          <w:rtl/>
          <w:lang w:bidi="fa-IR"/>
        </w:rPr>
        <w:t xml:space="preserve">برای </w:t>
      </w:r>
      <w:r>
        <w:rPr>
          <w:rFonts w:hint="cs"/>
          <w:rtl/>
          <w:lang w:bidi="fa-IR"/>
        </w:rPr>
        <w:t xml:space="preserve">داده </w:t>
      </w:r>
      <w:r>
        <w:rPr>
          <w:rFonts w:hint="cs"/>
          <w:rtl/>
          <w:lang w:bidi="fa-IR"/>
        </w:rPr>
        <w:t xml:space="preserve">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t>آ</w:t>
      </w:r>
      <w:r>
        <w:rPr>
          <w:rFonts w:hint="cs"/>
          <w:rtl/>
          <w:lang w:bidi="fa-IR"/>
        </w:rPr>
        <w:t xml:space="preserve">ثار قابل اعمال </w:t>
      </w:r>
      <w:r>
        <w:rPr>
          <w:rFonts w:hint="cs"/>
          <w:rtl/>
          <w:lang w:bidi="fa-IR"/>
        </w:rPr>
        <w:t xml:space="preserve">صرفاً </w:t>
      </w:r>
      <w:r>
        <w:rPr>
          <w:rFonts w:hint="cs"/>
          <w:rtl/>
          <w:lang w:bidi="fa-IR"/>
        </w:rPr>
        <w:t>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w:t>
      </w:r>
      <w:r>
        <w:rPr>
          <w:rFonts w:hint="cs"/>
          <w:rtl/>
          <w:lang w:bidi="fa-IR"/>
        </w:rPr>
        <w:t xml:space="preserve"> کامل قرار است</w:t>
      </w:r>
      <w:r>
        <w:rPr>
          <w:rFonts w:hint="cs"/>
          <w:rtl/>
          <w:lang w:bidi="fa-IR"/>
        </w:rPr>
        <w:t xml:space="preserve"> </w:t>
      </w:r>
      <w:r>
        <w:rPr>
          <w:rFonts w:hint="cs"/>
          <w:rtl/>
          <w:lang w:bidi="fa-IR"/>
        </w:rPr>
        <w:t>واکشی شده</w:t>
      </w:r>
      <w:r>
        <w:rPr>
          <w:rFonts w:hint="cs"/>
          <w:rtl/>
          <w:lang w:bidi="fa-IR"/>
        </w:rPr>
        <w:t xml:space="preserve"> </w:t>
      </w:r>
      <w:r>
        <w:rPr>
          <w:rFonts w:hint="cs"/>
          <w:rtl/>
          <w:lang w:bidi="fa-IR"/>
        </w:rPr>
        <w:t>و</w:t>
      </w:r>
      <w:r>
        <w:rPr>
          <w:rFonts w:hint="cs"/>
          <w:rtl/>
          <w:lang w:bidi="fa-IR"/>
        </w:rPr>
        <w:t xml:space="preserve"> در یک فرم ورود اطلاعات نمایش داده شود. </w:t>
      </w:r>
      <w:r>
        <w:rPr>
          <w:rFonts w:hint="cs"/>
          <w:rtl/>
          <w:lang w:bidi="fa-IR"/>
        </w:rPr>
        <w:t>بنابراین</w:t>
      </w:r>
      <w:r>
        <w:rPr>
          <w:rFonts w:hint="cs"/>
          <w:rtl/>
          <w:lang w:bidi="fa-IR"/>
        </w:rPr>
        <w:t xml:space="preserve"> لیست خصوصیات </w:t>
      </w:r>
      <w:r>
        <w:rPr>
          <w:rFonts w:hint="cs"/>
          <w:rtl/>
          <w:lang w:bidi="fa-IR"/>
        </w:rPr>
        <w:t>داده مهیا می باشد</w:t>
      </w:r>
      <w:r w:rsidR="00BC58D1">
        <w:rPr>
          <w:rFonts w:hint="cs"/>
          <w:rtl/>
          <w:lang w:bidi="fa-IR"/>
        </w:rPr>
        <w:t xml:space="preserve"> و </w:t>
      </w:r>
      <w:r w:rsidR="00BC58D1">
        <w:rPr>
          <w:rFonts w:hint="cs"/>
          <w:rtl/>
          <w:lang w:bidi="fa-IR"/>
        </w:rPr>
        <w:t xml:space="preserve">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w:t>
      </w:r>
      <w:r>
        <w:rPr>
          <w:rFonts w:hint="cs"/>
          <w:rtl/>
          <w:lang w:bidi="fa-IR"/>
        </w:rPr>
        <w:t xml:space="preserve">روابط داده یا همان </w:t>
      </w:r>
      <w:r w:rsidRPr="00A91768">
        <w:rPr>
          <w:lang w:bidi="fa-IR"/>
        </w:rPr>
        <w:t>ChildRelationshipDatas</w:t>
      </w:r>
      <w:r>
        <w:rPr>
          <w:rFonts w:hint="cs"/>
          <w:rtl/>
          <w:lang w:bidi="fa-IR"/>
        </w:rPr>
        <w:t xml:space="preserve"> هنوز </w:t>
      </w:r>
      <w:r>
        <w:rPr>
          <w:rFonts w:hint="cs"/>
          <w:rtl/>
          <w:lang w:bidi="fa-IR"/>
        </w:rPr>
        <w:t>دارای مقدار نمی باشند</w:t>
      </w:r>
      <w:r>
        <w:rPr>
          <w:rFonts w:hint="cs"/>
          <w:rtl/>
          <w:lang w:bidi="fa-IR"/>
        </w:rPr>
        <w:t xml:space="preserve">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3FCD6A7" w14:textId="77777777" w:rsidR="004A090C" w:rsidRDefault="00F11D1B" w:rsidP="00D91290">
      <w:pPr>
        <w:pStyle w:val="ListParagraph"/>
        <w:numPr>
          <w:ilvl w:val="0"/>
          <w:numId w:val="56"/>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Fonts w:hint="cs"/>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w:t>
      </w:r>
      <w:r w:rsidR="00BC58D1">
        <w:rPr>
          <w:rFonts w:hint="cs"/>
          <w:rtl/>
          <w:lang w:bidi="fa-IR"/>
        </w:rPr>
        <w:t xml:space="preserve">مورد اعمال </w:t>
      </w:r>
      <w:r w:rsidR="00BC58D1">
        <w:rPr>
          <w:rFonts w:hint="cs"/>
          <w:rtl/>
          <w:lang w:bidi="fa-IR"/>
        </w:rPr>
        <w:t xml:space="preserve">بروی </w:t>
      </w:r>
      <w:r w:rsidR="00BC58D1">
        <w:rPr>
          <w:rFonts w:hint="cs"/>
          <w:rtl/>
          <w:lang w:bidi="fa-IR"/>
        </w:rPr>
        <w:t xml:space="preserve">داده چه </w:t>
      </w:r>
      <w:r w:rsidR="00BC58D1">
        <w:rPr>
          <w:rFonts w:hint="cs"/>
          <w:rtl/>
          <w:lang w:bidi="fa-IR"/>
        </w:rPr>
        <w:t xml:space="preserve">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091FC8">
      <w:pPr>
        <w:pStyle w:val="ListParagraph"/>
        <w:numPr>
          <w:ilvl w:val="0"/>
          <w:numId w:val="64"/>
        </w:numPr>
        <w:bidi/>
        <w:jc w:val="both"/>
        <w:rPr>
          <w:rFonts w:hint="cs"/>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877708">
      <w:pPr>
        <w:pStyle w:val="ListParagraph"/>
        <w:numPr>
          <w:ilvl w:val="0"/>
          <w:numId w:val="64"/>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8F2557">
      <w:pPr>
        <w:pStyle w:val="ListParagraph"/>
        <w:numPr>
          <w:ilvl w:val="0"/>
          <w:numId w:val="57"/>
        </w:numPr>
        <w:bidi/>
        <w:jc w:val="both"/>
        <w:rPr>
          <w:lang w:bidi="fa-IR"/>
        </w:rPr>
      </w:pPr>
      <w:r>
        <w:rPr>
          <w:rFonts w:hint="cs"/>
          <w:rtl/>
          <w:lang w:bidi="fa-IR"/>
        </w:rPr>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8F2557">
      <w:pPr>
        <w:pStyle w:val="ListParagraph"/>
        <w:numPr>
          <w:ilvl w:val="0"/>
          <w:numId w:val="57"/>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lastRenderedPageBreak/>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pPr>
        <w:pStyle w:val="ListParagraph"/>
        <w:numPr>
          <w:ilvl w:val="1"/>
          <w:numId w:val="58"/>
        </w:numPr>
        <w:bidi/>
        <w:jc w:val="both"/>
        <w:rPr>
          <w:rFonts w:hint="cs"/>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135A93">
      <w:pPr>
        <w:pStyle w:val="ListParagraph"/>
        <w:numPr>
          <w:ilvl w:val="2"/>
          <w:numId w:val="58"/>
        </w:numPr>
        <w:bidi/>
        <w:jc w:val="both"/>
        <w:rPr>
          <w:rFonts w:hint="cs"/>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135A93">
      <w:pPr>
        <w:pStyle w:val="ListParagraph"/>
        <w:numPr>
          <w:ilvl w:val="2"/>
          <w:numId w:val="58"/>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D0B2C95" w14:textId="4F521277" w:rsidR="00262D86" w:rsidRDefault="00836F4E" w:rsidP="00836F4E">
      <w:pPr>
        <w:pStyle w:val="ListParagraph"/>
        <w:bidi/>
        <w:ind w:left="0"/>
        <w:jc w:val="both"/>
        <w:rPr>
          <w:rtl/>
          <w:lang w:bidi="fa-IR"/>
        </w:rPr>
      </w:pPr>
      <w:r>
        <w:rPr>
          <w:rFonts w:hint="cs"/>
          <w:rtl/>
          <w:lang w:bidi="fa-IR"/>
        </w:rPr>
        <w:t xml:space="preserve">هر زمانی که داده ای در یک فرم ورود اطلاعات توسط متد </w:t>
      </w:r>
      <w:r w:rsidRPr="00836F4E">
        <w:rPr>
          <w:lang w:bidi="fa-IR"/>
        </w:rPr>
        <w:t>ShowDataInDataView</w:t>
      </w:r>
      <w:r>
        <w:rPr>
          <w:rFonts w:hint="cs"/>
          <w:rtl/>
          <w:lang w:bidi="fa-IR"/>
        </w:rPr>
        <w:t xml:space="preserve"> نمایش داده می شود رویدادی نیز در ابزار کمکی وضعیتها به نام </w:t>
      </w:r>
      <w:r w:rsidRPr="00836F4E">
        <w:rPr>
          <w:lang w:bidi="fa-IR"/>
        </w:rPr>
        <w:t>DataToShowInDataview</w:t>
      </w:r>
      <w:r>
        <w:rPr>
          <w:rFonts w:hint="cs"/>
          <w:rtl/>
          <w:lang w:bidi="fa-IR"/>
        </w:rPr>
        <w:t xml:space="preserve"> فراخوانی می گردد(</w:t>
      </w:r>
      <w:r>
        <w:rPr>
          <w:rFonts w:ascii="Cascadia Mono" w:hAnsi="Cascadia Mono" w:cs="Cascadia Mono"/>
          <w:color w:val="008000"/>
          <w:sz w:val="19"/>
          <w:szCs w:val="19"/>
        </w:rPr>
        <w:t>UIActionActivityManager.DataToShowInDataview: f3c425b1720a</w:t>
      </w:r>
      <w:r>
        <w:rPr>
          <w:rFonts w:hint="cs"/>
          <w:rtl/>
          <w:lang w:bidi="fa-IR"/>
        </w:rPr>
        <w:t xml:space="preserve">). در این رویداد 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w:t>
      </w:r>
      <w:r w:rsidR="000E07A5">
        <w:rPr>
          <w:rFonts w:hint="cs"/>
          <w:rtl/>
          <w:lang w:bidi="fa-IR"/>
        </w:rPr>
        <w:lastRenderedPageBreak/>
        <w:t>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lastRenderedPageBreak/>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w:t>
      </w:r>
      <w:bookmarkStart w:id="10" w:name="_GoBack"/>
      <w:bookmarkEnd w:id="10"/>
      <w:r>
        <w:rPr>
          <w:rFonts w:hint="cs"/>
          <w:rtl/>
          <w:lang w:bidi="fa-IR"/>
        </w:rPr>
        <w:t xml:space="preserve">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1" w:name="_Hlk137038889"/>
      <w:r w:rsidR="00C02435">
        <w:rPr>
          <w:rFonts w:ascii="Cascadia Mono" w:hAnsi="Cascadia Mono" w:cs="Cascadia Mono"/>
          <w:color w:val="008000"/>
          <w:sz w:val="19"/>
          <w:szCs w:val="19"/>
        </w:rPr>
        <w:t>SetChangeMonitor</w:t>
      </w:r>
      <w:bookmarkEnd w:id="11"/>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lastRenderedPageBreak/>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494288F5" w14:textId="77777777" w:rsidR="006A4DF2" w:rsidRDefault="006A4DF2" w:rsidP="006A4DF2">
      <w:pPr>
        <w:bidi/>
        <w:rPr>
          <w:rtl/>
          <w:lang w:bidi="fa-IR"/>
        </w:rPr>
      </w:pPr>
    </w:p>
    <w:p w14:paraId="7521B1E5" w14:textId="77777777" w:rsidR="006A4DF2" w:rsidRDefault="006A4DF2" w:rsidP="006A4DF2">
      <w:pPr>
        <w:bidi/>
        <w:rPr>
          <w:rtl/>
          <w:lang w:bidi="fa-IR"/>
        </w:rPr>
      </w:pPr>
    </w:p>
    <w:p w14:paraId="64A4BAC5" w14:textId="77777777" w:rsidR="006A4DF2" w:rsidRDefault="006A4DF2" w:rsidP="006A4DF2">
      <w:pPr>
        <w:bidi/>
        <w:rPr>
          <w:rtl/>
          <w:lang w:bidi="fa-IR"/>
        </w:rPr>
      </w:pPr>
    </w:p>
    <w:p w14:paraId="2C6852C6" w14:textId="77777777" w:rsidR="006A4DF2" w:rsidRPr="008E7F83" w:rsidRDefault="006A4DF2" w:rsidP="006A4DF2">
      <w:pPr>
        <w:bidi/>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lastRenderedPageBreak/>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lastRenderedPageBreak/>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lastRenderedPageBreak/>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lastRenderedPageBreak/>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lastRenderedPageBreak/>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lastRenderedPageBreak/>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lastRenderedPageBreak/>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lastRenderedPageBreak/>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lastRenderedPageBreak/>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lastRenderedPageBreak/>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lastRenderedPageBreak/>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99969" w14:textId="77777777" w:rsidR="00AA7DAA" w:rsidRDefault="00AA7DAA" w:rsidP="00126E33">
      <w:pPr>
        <w:spacing w:after="0" w:line="240" w:lineRule="auto"/>
      </w:pPr>
      <w:r>
        <w:separator/>
      </w:r>
    </w:p>
  </w:endnote>
  <w:endnote w:type="continuationSeparator" w:id="0">
    <w:p w14:paraId="5CF157EC" w14:textId="77777777" w:rsidR="00AA7DAA" w:rsidRDefault="00AA7DAA"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EC260" w14:textId="77777777" w:rsidR="00AA7DAA" w:rsidRDefault="00AA7DAA" w:rsidP="00126E33">
      <w:pPr>
        <w:spacing w:after="0" w:line="240" w:lineRule="auto"/>
      </w:pPr>
      <w:r>
        <w:separator/>
      </w:r>
    </w:p>
  </w:footnote>
  <w:footnote w:type="continuationSeparator" w:id="0">
    <w:p w14:paraId="3E9EA3A7" w14:textId="77777777" w:rsidR="00AA7DAA" w:rsidRDefault="00AA7DAA"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40B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2"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4"/>
  </w:num>
  <w:num w:numId="3">
    <w:abstractNumId w:val="15"/>
  </w:num>
  <w:num w:numId="4">
    <w:abstractNumId w:val="17"/>
  </w:num>
  <w:num w:numId="5">
    <w:abstractNumId w:val="37"/>
  </w:num>
  <w:num w:numId="6">
    <w:abstractNumId w:val="18"/>
  </w:num>
  <w:num w:numId="7">
    <w:abstractNumId w:val="56"/>
  </w:num>
  <w:num w:numId="8">
    <w:abstractNumId w:val="24"/>
  </w:num>
  <w:num w:numId="9">
    <w:abstractNumId w:val="6"/>
  </w:num>
  <w:num w:numId="10">
    <w:abstractNumId w:val="51"/>
  </w:num>
  <w:num w:numId="11">
    <w:abstractNumId w:val="25"/>
  </w:num>
  <w:num w:numId="12">
    <w:abstractNumId w:val="1"/>
  </w:num>
  <w:num w:numId="13">
    <w:abstractNumId w:val="46"/>
  </w:num>
  <w:num w:numId="14">
    <w:abstractNumId w:val="39"/>
  </w:num>
  <w:num w:numId="15">
    <w:abstractNumId w:val="59"/>
  </w:num>
  <w:num w:numId="16">
    <w:abstractNumId w:val="49"/>
  </w:num>
  <w:num w:numId="17">
    <w:abstractNumId w:val="30"/>
  </w:num>
  <w:num w:numId="18">
    <w:abstractNumId w:val="3"/>
  </w:num>
  <w:num w:numId="19">
    <w:abstractNumId w:val="8"/>
  </w:num>
  <w:num w:numId="20">
    <w:abstractNumId w:val="32"/>
  </w:num>
  <w:num w:numId="21">
    <w:abstractNumId w:val="60"/>
  </w:num>
  <w:num w:numId="22">
    <w:abstractNumId w:val="41"/>
  </w:num>
  <w:num w:numId="23">
    <w:abstractNumId w:val="4"/>
  </w:num>
  <w:num w:numId="24">
    <w:abstractNumId w:val="61"/>
  </w:num>
  <w:num w:numId="25">
    <w:abstractNumId w:val="63"/>
  </w:num>
  <w:num w:numId="26">
    <w:abstractNumId w:val="26"/>
  </w:num>
  <w:num w:numId="27">
    <w:abstractNumId w:val="57"/>
  </w:num>
  <w:num w:numId="28">
    <w:abstractNumId w:val="9"/>
  </w:num>
  <w:num w:numId="29">
    <w:abstractNumId w:val="27"/>
  </w:num>
  <w:num w:numId="30">
    <w:abstractNumId w:val="14"/>
  </w:num>
  <w:num w:numId="31">
    <w:abstractNumId w:val="21"/>
  </w:num>
  <w:num w:numId="32">
    <w:abstractNumId w:val="52"/>
  </w:num>
  <w:num w:numId="33">
    <w:abstractNumId w:val="11"/>
  </w:num>
  <w:num w:numId="34">
    <w:abstractNumId w:val="23"/>
  </w:num>
  <w:num w:numId="35">
    <w:abstractNumId w:val="36"/>
  </w:num>
  <w:num w:numId="36">
    <w:abstractNumId w:val="29"/>
  </w:num>
  <w:num w:numId="37">
    <w:abstractNumId w:val="2"/>
  </w:num>
  <w:num w:numId="38">
    <w:abstractNumId w:val="13"/>
  </w:num>
  <w:num w:numId="39">
    <w:abstractNumId w:val="54"/>
  </w:num>
  <w:num w:numId="40">
    <w:abstractNumId w:val="48"/>
  </w:num>
  <w:num w:numId="41">
    <w:abstractNumId w:val="19"/>
  </w:num>
  <w:num w:numId="42">
    <w:abstractNumId w:val="44"/>
  </w:num>
  <w:num w:numId="43">
    <w:abstractNumId w:val="5"/>
  </w:num>
  <w:num w:numId="44">
    <w:abstractNumId w:val="50"/>
  </w:num>
  <w:num w:numId="45">
    <w:abstractNumId w:val="47"/>
  </w:num>
  <w:num w:numId="46">
    <w:abstractNumId w:val="10"/>
  </w:num>
  <w:num w:numId="47">
    <w:abstractNumId w:val="0"/>
  </w:num>
  <w:num w:numId="48">
    <w:abstractNumId w:val="53"/>
  </w:num>
  <w:num w:numId="49">
    <w:abstractNumId w:val="31"/>
  </w:num>
  <w:num w:numId="50">
    <w:abstractNumId w:val="28"/>
  </w:num>
  <w:num w:numId="51">
    <w:abstractNumId w:val="20"/>
  </w:num>
  <w:num w:numId="52">
    <w:abstractNumId w:val="22"/>
  </w:num>
  <w:num w:numId="53">
    <w:abstractNumId w:val="33"/>
  </w:num>
  <w:num w:numId="54">
    <w:abstractNumId w:val="55"/>
  </w:num>
  <w:num w:numId="55">
    <w:abstractNumId w:val="58"/>
  </w:num>
  <w:num w:numId="56">
    <w:abstractNumId w:val="40"/>
  </w:num>
  <w:num w:numId="57">
    <w:abstractNumId w:val="12"/>
  </w:num>
  <w:num w:numId="58">
    <w:abstractNumId w:val="42"/>
  </w:num>
  <w:num w:numId="59">
    <w:abstractNumId w:val="45"/>
  </w:num>
  <w:num w:numId="60">
    <w:abstractNumId w:val="35"/>
  </w:num>
  <w:num w:numId="61">
    <w:abstractNumId w:val="7"/>
  </w:num>
  <w:num w:numId="62">
    <w:abstractNumId w:val="16"/>
  </w:num>
  <w:num w:numId="63">
    <w:abstractNumId w:val="62"/>
  </w:num>
  <w:num w:numId="64">
    <w:abstractNumId w:val="3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9C9"/>
    <w:rsid w:val="00002B9D"/>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16B2A"/>
    <w:rsid w:val="00121F79"/>
    <w:rsid w:val="001268D6"/>
    <w:rsid w:val="00126E33"/>
    <w:rsid w:val="001276DF"/>
    <w:rsid w:val="00131C9B"/>
    <w:rsid w:val="00131D5D"/>
    <w:rsid w:val="00132E68"/>
    <w:rsid w:val="001337DE"/>
    <w:rsid w:val="00133CA1"/>
    <w:rsid w:val="00134BEA"/>
    <w:rsid w:val="00135A93"/>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2FBD"/>
    <w:rsid w:val="00193CC1"/>
    <w:rsid w:val="0019664F"/>
    <w:rsid w:val="001A024A"/>
    <w:rsid w:val="001A16C4"/>
    <w:rsid w:val="001A19D7"/>
    <w:rsid w:val="001A264F"/>
    <w:rsid w:val="001A3759"/>
    <w:rsid w:val="001A4CB6"/>
    <w:rsid w:val="001A6A9F"/>
    <w:rsid w:val="001A6F97"/>
    <w:rsid w:val="001A788C"/>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E5665"/>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575E"/>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77153"/>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79C5"/>
    <w:rsid w:val="006434F0"/>
    <w:rsid w:val="0064423D"/>
    <w:rsid w:val="0065065A"/>
    <w:rsid w:val="0065349F"/>
    <w:rsid w:val="00653E26"/>
    <w:rsid w:val="0065691F"/>
    <w:rsid w:val="00657CB8"/>
    <w:rsid w:val="00657D66"/>
    <w:rsid w:val="006618D5"/>
    <w:rsid w:val="00664CF6"/>
    <w:rsid w:val="00664E50"/>
    <w:rsid w:val="006713C8"/>
    <w:rsid w:val="00672AAC"/>
    <w:rsid w:val="00672F64"/>
    <w:rsid w:val="00673E48"/>
    <w:rsid w:val="00676399"/>
    <w:rsid w:val="006773E4"/>
    <w:rsid w:val="00677DD8"/>
    <w:rsid w:val="006806D2"/>
    <w:rsid w:val="006818C4"/>
    <w:rsid w:val="00683FE4"/>
    <w:rsid w:val="006849AB"/>
    <w:rsid w:val="006874D9"/>
    <w:rsid w:val="006947EB"/>
    <w:rsid w:val="0069552F"/>
    <w:rsid w:val="0069799A"/>
    <w:rsid w:val="006A0E53"/>
    <w:rsid w:val="006A3BE5"/>
    <w:rsid w:val="006A4D36"/>
    <w:rsid w:val="006A4DF2"/>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0D8"/>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5845"/>
    <w:rsid w:val="0090230D"/>
    <w:rsid w:val="00903256"/>
    <w:rsid w:val="0090330D"/>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3C84"/>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64467"/>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C1"/>
    <w:rsid w:val="00BB7DF7"/>
    <w:rsid w:val="00BC0ED8"/>
    <w:rsid w:val="00BC1F19"/>
    <w:rsid w:val="00BC2CAE"/>
    <w:rsid w:val="00BC3912"/>
    <w:rsid w:val="00BC58D1"/>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471A"/>
    <w:rsid w:val="00D0761C"/>
    <w:rsid w:val="00D117AB"/>
    <w:rsid w:val="00D12B3D"/>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3D82"/>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1290"/>
    <w:rsid w:val="00D94A08"/>
    <w:rsid w:val="00D94E1A"/>
    <w:rsid w:val="00D9570D"/>
    <w:rsid w:val="00D961A6"/>
    <w:rsid w:val="00D962C6"/>
    <w:rsid w:val="00D965DC"/>
    <w:rsid w:val="00D96D73"/>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341D"/>
    <w:rsid w:val="00E24C81"/>
    <w:rsid w:val="00E3036A"/>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CBBA-EACA-4E14-A8EB-E6D3D358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56248</TotalTime>
  <Pages>97</Pages>
  <Words>32864</Words>
  <Characters>187327</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514</cp:revision>
  <dcterms:created xsi:type="dcterms:W3CDTF">2020-04-13T15:27:00Z</dcterms:created>
  <dcterms:modified xsi:type="dcterms:W3CDTF">2023-06-11T11:33:00Z</dcterms:modified>
</cp:coreProperties>
</file>