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Razorpay AI Buildathon</w:t>
      </w:r>
    </w:p>
    <w:p>
      <w:pPr>
        <w:spacing w:after="200"/>
      </w:pPr>
      <w:r>
        <w:rPr>
          <w:b/>
          <w:bCs/>
          <w:color w:val="2E5AAC"/>
          <w:sz w:val="26"/>
          <w:szCs w:val="26"/>
        </w:rPr>
        <w:t xml:space="preserve">Landscape, Gaps &amp; Novel Product Opportunities</w:t>
      </w:r>
    </w:p>
    <w:p>
      <w:pPr>
        <w:spacing w:after="160"/>
      </w:pPr>
      <w:r>
        <w:rPr>
          <w:i/>
          <w:iCs/>
          <w:color w:val="555555"/>
          <w:sz w:val="20"/>
          <w:szCs w:val="20"/>
        </w:rPr>
        <w:t xml:space="preserve">What's already built (Razorpay + industry), where it's lagging, and where to build something that actually helps rather than a generic demo</w:t>
      </w:r>
    </w:p>
    <w:p>
      <w:pPr>
        <w:spacing w:after="320"/>
      </w:pPr>
      <w:r>
        <w:rPr>
          <w:i/>
          <w:iCs/>
          <w:color w:val="555555"/>
          <w:sz w:val="20"/>
          <w:szCs w:val="20"/>
        </w:rPr>
        <w:t xml:space="preserve">Prepared for: Owais  |  Companion to the Track Review &amp; Recommendation doc</w:t>
      </w:r>
    </w:p>
    <w:p>
      <w:pPr>
        <w:pBdr>
          <w:bottom w:val="single" w:color="AAAAAA" w:sz="6" w:space="1"/>
        </w:pBdr>
        <w:spacing w:after="240"/>
      </w:pPr>
    </w:p>
    <w:p>
      <w:pPr>
        <w:pStyle w:val="Heading1"/>
      </w:pPr>
      <w:r>
        <w:t xml:space="preserve">0. How to read this document</w:t>
      </w:r>
    </w:p>
    <w:p>
      <w:pPr>
        <w:spacing w:after="160" w:line="300"/>
      </w:pPr>
      <w:r>
        <w:t xml:space="preserve">This is a follow-up to the track review: for each of the four scoped tracks, it maps what Razorpay and the wider industry have already shipped, names the specific gaps that are still open as of mid-2026, and proposes one concrete, differentiated product concept per track — sized for a solo 2-week build — that targets a real, named gap rather than a generic “agent that does the thing.”</w:t>
      </w:r>
    </w:p>
    <w:p>
      <w:pPr>
        <w:spacing w:after="160" w:line="300"/>
      </w:pPr>
      <w:r>
        <w:t xml:space="preserve">The single biggest finding worth flagging up front: for two of the four tracks (Revenue Recovery and Finance Controller), the research surfaced gaps that live inside Razorpay's own product suite specifically — not just “the industry hasn't solved this,” but “Razorpay's own docs and product boundaries show this exact seam.” Building against a gap Razorpay can see in its own stack is a stronger internship pitch than building against an abstract market gap, because the panel can verify it against products they own.</w:t>
      </w:r>
    </w:p>
    <w:p>
      <w:r>
        <w:br w:type="page"/>
      </w:r>
    </w:p>
    <w:p>
      <w:pPr>
        <w:pStyle w:val="Heading1"/>
      </w:pPr>
      <w:r>
        <w:t xml:space="preserve">1. Track 1 — AI Growth &amp; Agentic Commerce</w:t>
      </w:r>
    </w:p>
    <w:p>
      <w:pPr>
        <w:pStyle w:val="Heading2"/>
      </w:pPr>
      <w:r>
        <w:t xml:space="preserve">What's already built</w:t>
      </w:r>
    </w:p>
    <w:p>
      <w:pPr>
        <w:pStyle w:val="ListParagraph"/>
        <w:numPr>
          <w:ilvl w:val="0"/>
          <w:numId w:val="2"/>
        </w:numPr>
        <w:spacing w:after="120" w:line="280"/>
      </w:pPr>
      <w:r>
        <w:rPr>
          <w:b/>
          <w:bCs/>
        </w:rPr>
        <w:t xml:space="preserve">Three converging global protocols, none unified.</w:t>
      </w:r>
      <w:r>
        <w:t xml:space="preserve"> Google's AP2 (cryptographic Intent → Cart mandates, donated to the FIDO Alliance, 60+ adopters), OpenAI + Stripe's ACP (powers ChatGPT Instant Checkout, live on Etsy and 1M+ Shopify merchants), and Visa's Trusted Agent Protocol (agent identity/authentication via signed requests). Mastercard Agent Pay and PayPal's Agentic Commerce Services round out the field. Analysts frame these as layered — identity vs. authorization vs. checkout — but no merchant today implements all three natively.</w:t>
      </w:r>
    </w:p>
    <w:p>
      <w:pPr>
        <w:pStyle w:val="ListParagraph"/>
        <w:numPr>
          <w:ilvl w:val="0"/>
          <w:numId w:val="2"/>
        </w:numPr>
        <w:spacing w:after="120" w:line="280"/>
      </w:pPr>
      <w:r>
        <w:rPr>
          <w:b/>
          <w:bCs/>
        </w:rPr>
        <w:t xml:space="preserve">Razorpay is already moving here.</w:t>
      </w:r>
      <w:r>
        <w:t xml:space="preserve"> Razorpay launched an MCP server in June 2025 (first Indian gateway to do so) for conversational payment-link creation, order lookup, and refunds. Its “Agentic Payments” product uses UPI Reserve Pay for consent-based pre-authorization with merchant spend limits.</w:t>
      </w:r>
    </w:p>
    <w:p>
      <w:pPr>
        <w:pStyle w:val="ListParagraph"/>
        <w:numPr>
          <w:ilvl w:val="0"/>
          <w:numId w:val="2"/>
        </w:numPr>
        <w:spacing w:after="120" w:line="280"/>
      </w:pPr>
      <w:r>
        <w:rPr>
          <w:b/>
          <w:bCs/>
        </w:rPr>
        <w:t xml:space="preserve">A live, closed pilot already exists.</w:t>
      </w:r>
      <w:r>
        <w:t xml:space="preserve"> Razorpay + NPCI + Anthropic announced a pilot (Feb 2026) letting Claude complete UPI purchases on Zomato/Swiggy/Zepto inside a closed user group, using UPI's mandate framework instead of repeated PIN/OTP entry.</w:t>
      </w:r>
    </w:p>
    <w:p>
      <w:pPr>
        <w:pStyle w:val="ListParagraph"/>
        <w:numPr>
          <w:ilvl w:val="0"/>
          <w:numId w:val="2"/>
        </w:numPr>
        <w:spacing w:after="120" w:line="280"/>
      </w:pPr>
      <w:r>
        <w:rPr>
          <w:b/>
          <w:bCs/>
        </w:rPr>
        <w:t xml:space="preserve">Catalog standards are unsettled, not missing.</w:t>
      </w:r>
      <w:r>
        <w:t xml:space="preserve"> schema.org JSON-LD, MCP-based commerce servers, Microsoft's NLWeb, and the new Universal Commerce Protocol all coexist; a draft agents.txt spec is emerging as a robots.txt-style discovery layer.</w:t>
      </w:r>
    </w:p>
    <w:p>
      <w:pPr>
        <w:pStyle w:val="Heading2"/>
      </w:pPr>
      <w:r>
        <w:t xml:space="preserve">Current gaps — what's still lagging</w:t>
      </w:r>
    </w:p>
    <w:p>
      <w:pPr>
        <w:pStyle w:val="ListParagraph"/>
        <w:numPr>
          <w:ilvl w:val="0"/>
          <w:numId w:val="2"/>
        </w:numPr>
        <w:spacing w:after="100" w:line="280"/>
      </w:pPr>
      <w:r>
        <w:t xml:space="preserve">Agent authentication is not the same as human-consent verification. Visa's TAP proves an agent is registered and not spoofed — it does not prove the human behind it is real, funded, or gave informed per-transaction consent. That's a separate, mostly unadopted layer (AP2's mandates).</w:t>
      </w:r>
    </w:p>
    <w:p>
      <w:pPr>
        <w:pStyle w:val="ListParagraph"/>
        <w:numPr>
          <w:ilvl w:val="0"/>
          <w:numId w:val="2"/>
        </w:numPr>
        <w:spacing w:after="100" w:line="280"/>
      </w:pPr>
      <w:r>
        <w:t xml:space="preserve">Liability is essentially unresolved. Amex is the only major issuer committing to cover erroneous agent purchases, and explicitly not fraud, on its own network only. No cross-network or cross-border liability framework exists yet.</w:t>
      </w:r>
    </w:p>
    <w:p>
      <w:pPr>
        <w:pStyle w:val="ListParagraph"/>
        <w:numPr>
          <w:ilvl w:val="0"/>
          <w:numId w:val="2"/>
        </w:numPr>
        <w:spacing w:after="100" w:line="280"/>
      </w:pPr>
      <w:r>
        <w:t xml:space="preserve">India/UPI agentic commerce is at pilot stage, not standard. NPCI's proposed “Unified Agent Protocol” has no public spec. Commentators (Medianama) are still proposing baseline safeguards — separate agent handles, ₹100/transaction and ₹500/month default caps, prepaid-wallet sandboxing — that don't exist in any live product yet.</w:t>
      </w:r>
    </w:p>
    <w:p>
      <w:pPr>
        <w:pStyle w:val="ListParagraph"/>
        <w:numPr>
          <w:ilvl w:val="0"/>
          <w:numId w:val="2"/>
        </w:numPr>
        <w:spacing w:after="100" w:line="280"/>
      </w:pPr>
      <w:r>
        <w:t xml:space="preserve">India-specific trust infrastructure is explicitly named as missing. At the Feb 2026 India AI Impact Summit, Citibank's Prag Sharma framed the need as “an Aadhaar equivalent, a UPI equivalent, and an ONDC equivalent” for agents — cryptographic identity, scoped authorization, traceable accountability — and said none of the three exist yet for agents.</w:t>
      </w:r>
    </w:p>
    <w:p>
      <w:pPr>
        <w:pStyle w:val="ListParagraph"/>
        <w:numPr>
          <w:ilvl w:val="0"/>
          <w:numId w:val="2"/>
        </w:numPr>
        <w:spacing w:after="100" w:line="280"/>
      </w:pPr>
      <w:r>
        <w:t xml:space="preserve">No shared audit-trail schema across protocols. AP2's mandate chain is the only cryptographically verifiable, publicly specified audit trail; ACP doesn't publish a standard log schema. There is no common answer to “why did the agent spend this money” — precisely what this track asks for.</w:t>
      </w:r>
    </w:p>
    <w:p>
      <w:pPr>
        <w:pStyle w:val="ListParagraph"/>
        <w:numPr>
          <w:ilvl w:val="0"/>
          <w:numId w:val="2"/>
        </w:numPr>
        <w:spacing w:after="100" w:line="280"/>
      </w:pPr>
      <w:r>
        <w:t xml:space="preserve">Graceful refusal is universally undemonstrated. No protocol above publishes a reference “agent declined or escalated safely” flow — every write-up covers the happy path.</w:t>
      </w:r>
    </w:p>
    <w:p>
      <w:pPr>
        <w:pStyle w:val="Heading2"/>
      </w:pPr>
      <w:r>
        <w:t xml:space="preserve">The novel opportunity — a consent-bound UPI agentic-checkout layer</w:t>
      </w:r>
    </w:p>
    <w:p>
      <w:pPr>
        <w:spacing w:after="160" w:line="300"/>
      </w:pPr>
      <w:r>
        <w:t xml:space="preserve">Rather than building “a shopping chatbot,” build the missing trust layer Indian commentators say doesn't exist yet: a lightweight, test-mode implementation of agent-specific spend authorization for UPI-style agentic checkout, wrapped around a real Razorpay Orders/Payment Links flow.</w:t>
      </w:r>
    </w:p>
    <w:p>
      <w:pPr>
        <w:pStyle w:val="ListParagraph"/>
        <w:numPr>
          <w:ilvl w:val="0"/>
          <w:numId w:val="2"/>
        </w:numPr>
        <w:spacing w:after="120" w:line="280"/>
      </w:pPr>
      <w:r>
        <w:rPr>
          <w:b/>
          <w:bCs/>
        </w:rPr>
        <w:t xml:space="preserve">Two-mandate pattern (borrowed from AP2, without needing FIDO-grade infrastructure):</w:t>
      </w:r>
      <w:r>
        <w:t xml:space="preserve"> an Intent Mandate that binds the agent to a specific budget and category before it shops, and a Cart Mandate that locks the exact items and price before payment fires — both hash-chained into one auditable record.</w:t>
      </w:r>
    </w:p>
    <w:p>
      <w:pPr>
        <w:pStyle w:val="ListParagraph"/>
        <w:numPr>
          <w:ilvl w:val="0"/>
          <w:numId w:val="2"/>
        </w:numPr>
        <w:spacing w:after="120" w:line="280"/>
      </w:pPr>
      <w:r>
        <w:rPr>
          <w:b/>
          <w:bCs/>
        </w:rPr>
        <w:t xml:space="preserve">Agent-specific handle with hard caps:</w:t>
      </w:r>
      <w:r>
        <w:t xml:space="preserve"> implement the exact safeguards Medianama's commentators are still only proposing — a distinct agent identity, a default per-transaction cap (e.g. ₹100) and monthly cap (e.g. ₹500), and instant revocation — none of which exists in a public product today, even as a pilot.</w:t>
      </w:r>
    </w:p>
    <w:p>
      <w:pPr>
        <w:pStyle w:val="ListParagraph"/>
        <w:numPr>
          <w:ilvl w:val="0"/>
          <w:numId w:val="2"/>
        </w:numPr>
        <w:spacing w:after="120" w:line="280"/>
      </w:pPr>
      <w:r>
        <w:rPr>
          <w:b/>
          <w:bCs/>
        </w:rPr>
        <w:t xml:space="preserve">Dual-standard catalog exposure:</w:t>
      </w:r>
      <w:r>
        <w:t xml:space="preserve"> expose the same merchant catalog through both an MCP tool interface and schema.org JSON-LD, signalling awareness that the catalog-standard question is genuinely unsettled rather than betting on one winner.</w:t>
      </w:r>
    </w:p>
    <w:p>
      <w:pPr>
        <w:pStyle w:val="ListParagraph"/>
        <w:numPr>
          <w:ilvl w:val="0"/>
          <w:numId w:val="2"/>
        </w:numPr>
        <w:spacing w:after="120" w:line="280"/>
      </w:pPr>
      <w:r>
        <w:rPr>
          <w:b/>
          <w:bCs/>
        </w:rPr>
        <w:t xml:space="preserve">The hero moment is the refusal, not the purchase:</w:t>
      </w:r>
      <w:r>
        <w:t xml:space="preserve"> script one scenario where the agent safely declines or escalates — out-of-mandate category, price mismatch, ambiguous intent — and show that handled without a crash or a hallucinated success message. This is the single most differentiated 60 seconds available in this track, because no incumbent publishes this flow.</w:t>
      </w:r>
    </w:p>
    <w:p>
      <w:pPr>
        <w:pBdr>
          <w:top w:val="single" w:color="E8C468" w:sz="4" w:space="8"/>
          <w:bottom w:val="single" w:color="E8C468" w:sz="4" w:space="8"/>
          <w:left w:val="single" w:color="E8C468" w:sz="4" w:space="8"/>
          <w:right w:val="single" w:color="E8C468" w:sz="4" w:space="8"/>
        </w:pBdr>
        <w:shd w:fill="FFF6DE" w:color="auto" w:val="clear"/>
        <w:spacing w:after="200" w:before="120" w:line="300"/>
        <w:ind w:left="100" w:right="100"/>
      </w:pPr>
      <w:r>
        <w:rPr>
          <w:b/>
          <w:bCs/>
          <w:color w:val="8A5A00"/>
        </w:rPr>
        <w:t xml:space="preserve">Why this wins:  </w:t>
      </w:r>
      <w:r>
        <w:rPr>
          <w:color w:val="5C4400"/>
        </w:rPr>
        <w:t xml:space="preserve">every piece of this concept maps directly to a gap named by a real 2026 source — the mandate pattern, the spend caps, the graceful-refusal flow — so the pitch video can say “here is the exact safeguard NPCI/Medianama says doesn't exist yet” rather than “here is a cool agent.”</w:t>
      </w:r>
    </w:p>
    <w:p>
      <w:pPr>
        <w:pStyle w:val="Heading2"/>
      </w:pPr>
      <w:r>
        <w:t xml:space="preserve">Sources</w:t>
      </w:r>
    </w:p>
    <w:p>
      <w:pPr>
        <w:pStyle w:val="ListParagraph"/>
        <w:numPr>
          <w:ilvl w:val="0"/>
          <w:numId w:val="3"/>
        </w:numPr>
        <w:spacing w:after="60" w:line="260"/>
      </w:pPr>
      <w:hyperlink w:history="1" r:id="rIdfntopqrffhkpscajifvhb">
        <w:r>
          <w:rPr>
            <w:rStyle w:val="Hyperlink"/>
            <w:sz w:val="19"/>
            <w:szCs w:val="19"/>
          </w:rPr>
          <w:t xml:space="preserve">Google Cloud — Announcing AP2</w:t>
        </w:r>
      </w:hyperlink>
    </w:p>
    <w:p>
      <w:pPr>
        <w:pStyle w:val="ListParagraph"/>
        <w:numPr>
          <w:ilvl w:val="0"/>
          <w:numId w:val="3"/>
        </w:numPr>
        <w:spacing w:after="60" w:line="260"/>
      </w:pPr>
      <w:hyperlink w:history="1" r:id="rIdhntf-khizmmbb1n8zujxa">
        <w:r>
          <w:rPr>
            <w:rStyle w:val="Hyperlink"/>
            <w:sz w:val="19"/>
            <w:szCs w:val="19"/>
          </w:rPr>
          <w:t xml:space="preserve">Stripe — Developing an open standard for agentic commerce (ACP)</w:t>
        </w:r>
      </w:hyperlink>
    </w:p>
    <w:p>
      <w:pPr>
        <w:pStyle w:val="ListParagraph"/>
        <w:numPr>
          <w:ilvl w:val="0"/>
          <w:numId w:val="3"/>
        </w:numPr>
        <w:spacing w:after="60" w:line="260"/>
      </w:pPr>
      <w:hyperlink w:history="1" r:id="rIdsp7cemyjmyivzp8rbrxa6">
        <w:r>
          <w:rPr>
            <w:rStyle w:val="Hyperlink"/>
            <w:sz w:val="19"/>
            <w:szCs w:val="19"/>
          </w:rPr>
          <w:t xml:space="preserve">Visa Developer — Trusted Agent Protocol overview</w:t>
        </w:r>
      </w:hyperlink>
    </w:p>
    <w:p>
      <w:pPr>
        <w:pStyle w:val="ListParagraph"/>
        <w:numPr>
          <w:ilvl w:val="0"/>
          <w:numId w:val="3"/>
        </w:numPr>
        <w:spacing w:after="60" w:line="260"/>
      </w:pPr>
      <w:hyperlink w:history="1" r:id="rIdapzqk9udfrjciw29rxtf6">
        <w:r>
          <w:rPr>
            <w:rStyle w:val="Hyperlink"/>
            <w:sz w:val="19"/>
            <w:szCs w:val="19"/>
          </w:rPr>
          <w:t xml:space="preserve">Razorpay Newsroom — first Indian gateway to launch an MCP server</w:t>
        </w:r>
      </w:hyperlink>
    </w:p>
    <w:p>
      <w:pPr>
        <w:pStyle w:val="ListParagraph"/>
        <w:numPr>
          <w:ilvl w:val="0"/>
          <w:numId w:val="3"/>
        </w:numPr>
        <w:spacing w:after="60" w:line="260"/>
      </w:pPr>
      <w:hyperlink w:history="1" r:id="rIdfyuh6h5gdga3kbuk9o9y6">
        <w:r>
          <w:rPr>
            <w:rStyle w:val="Hyperlink"/>
            <w:sz w:val="19"/>
            <w:szCs w:val="19"/>
          </w:rPr>
          <w:t xml:space="preserve">Razorpay — Agentic Payments &amp; NPCI (Claude/UPI pilot)</w:t>
        </w:r>
      </w:hyperlink>
    </w:p>
    <w:p>
      <w:pPr>
        <w:pStyle w:val="ListParagraph"/>
        <w:numPr>
          <w:ilvl w:val="0"/>
          <w:numId w:val="3"/>
        </w:numPr>
        <w:spacing w:after="60" w:line="260"/>
      </w:pPr>
      <w:hyperlink w:history="1" r:id="rIdj0ivarrag2jshz65c2eog">
        <w:r>
          <w:rPr>
            <w:rStyle w:val="Hyperlink"/>
            <w:sz w:val="19"/>
            <w:szCs w:val="19"/>
          </w:rPr>
          <w:t xml:space="preserve">Medianama — How NPCI should approach agentic payments</w:t>
        </w:r>
      </w:hyperlink>
    </w:p>
    <w:p>
      <w:pPr>
        <w:pStyle w:val="ListParagraph"/>
        <w:numPr>
          <w:ilvl w:val="0"/>
          <w:numId w:val="3"/>
        </w:numPr>
        <w:spacing w:after="60" w:line="260"/>
      </w:pPr>
      <w:hyperlink w:history="1" r:id="rIdhb5wvfy0yvdvfpnl1ydn9">
        <w:r>
          <w:rPr>
            <w:rStyle w:val="Hyperlink"/>
            <w:sz w:val="19"/>
            <w:szCs w:val="19"/>
          </w:rPr>
          <w:t xml:space="preserve">Medianama — Why AI agents need digital IDs (India AI Impact Summit)</w:t>
        </w:r>
      </w:hyperlink>
    </w:p>
    <w:p>
      <w:pPr>
        <w:pStyle w:val="ListParagraph"/>
        <w:numPr>
          <w:ilvl w:val="0"/>
          <w:numId w:val="3"/>
        </w:numPr>
        <w:spacing w:after="60" w:line="260"/>
      </w:pPr>
      <w:hyperlink w:history="1" r:id="rIdxhvhxuhrl4t4gdpmox6gb">
        <w:r>
          <w:rPr>
            <w:rStyle w:val="Hyperlink"/>
            <w:sz w:val="19"/>
            <w:szCs w:val="19"/>
          </w:rPr>
          <w:t xml:space="preserve">The Financial Brand — When AI agents make incorrect purchases, who's responsible?</w:t>
        </w:r>
      </w:hyperlink>
    </w:p>
    <w:p>
      <w:r>
        <w:br w:type="page"/>
      </w:r>
    </w:p>
    <w:p>
      <w:pPr>
        <w:pStyle w:val="Heading1"/>
      </w:pPr>
      <w:r>
        <w:t xml:space="preserve">2. Track 2 — AI Risk Manager</w:t>
      </w:r>
    </w:p>
    <w:p>
      <w:pPr>
        <w:pStyle w:val="Heading2"/>
      </w:pPr>
      <w:r>
        <w:t xml:space="preserve">What's already built</w:t>
      </w:r>
    </w:p>
    <w:p>
      <w:pPr>
        <w:pStyle w:val="ListParagraph"/>
        <w:numPr>
          <w:ilvl w:val="0"/>
          <w:numId w:val="2"/>
        </w:numPr>
        <w:spacing w:after="120" w:line="280"/>
      </w:pPr>
      <w:r>
        <w:rPr>
          <w:b/>
          <w:bCs/>
        </w:rPr>
        <w:t xml:space="preserve">Razorpay's own stack has grown fast.</w:t>
      </w:r>
      <w:r>
        <w:t xml:space="preserve"> Thirdwatch (acquired 2019) is a supervised-ML e-commerce fraud engine outputting a probability score. In August 2026 Razorpay launched Vulcan, a transformer model trained on ~3 trillion data points from ~4 billion transactions, processing ~3,000 behavioural signals per transaction for fraud, routing, and checkout — claiming 8x more international card fraud caught and 5x more disputed transactions identified, though the baseline for those multiples isn't publicly disclosed and there's no independent audit yet.</w:t>
      </w:r>
    </w:p>
    <w:p>
      <w:pPr>
        <w:pStyle w:val="ListParagraph"/>
        <w:numPr>
          <w:ilvl w:val="0"/>
          <w:numId w:val="2"/>
        </w:numPr>
        <w:spacing w:after="120" w:line="280"/>
      </w:pPr>
      <w:r>
        <w:rPr>
          <w:b/>
          <w:bCs/>
        </w:rPr>
        <w:t xml:space="preserve">Enterprise platforms dominate the high end.</w:t>
      </w:r>
      <w:r>
        <w:t xml:space="preserve"> Stripe Radar (70T+ network data points, ~32% average fraud reduction claimed); Signifyd/Forter/Riskified sell a fraud-liability guarantee priced per enterprise contract; Sift/Kount lean on device fingerprinting — and Sift's own blog admits “black-box models undermine fraud prevention.”</w:t>
      </w:r>
    </w:p>
    <w:p>
      <w:pPr>
        <w:pStyle w:val="ListParagraph"/>
        <w:numPr>
          <w:ilvl w:val="0"/>
          <w:numId w:val="2"/>
        </w:numPr>
        <w:spacing w:after="120" w:line="280"/>
      </w:pPr>
      <w:r>
        <w:rPr>
          <w:b/>
          <w:bCs/>
        </w:rPr>
        <w:t xml:space="preserve">Chargeback automation is real but size-gated.</w:t>
      </w:r>
      <w:r>
        <w:t xml:space="preserve"> Justt drafts case-specific dispute evidence pulling from 50+ PSPs/third parties and A/B-tests responses, but is enterprise/fintech-focused; Chargeflow serves SMB/Shopify with more templated automation.</w:t>
      </w:r>
    </w:p>
    <w:p>
      <w:pPr>
        <w:pStyle w:val="ListParagraph"/>
        <w:numPr>
          <w:ilvl w:val="0"/>
          <w:numId w:val="2"/>
        </w:numPr>
        <w:spacing w:after="120" w:line="280"/>
      </w:pPr>
      <w:r>
        <w:rPr>
          <w:b/>
          <w:bCs/>
        </w:rPr>
        <w:t xml:space="preserve">Regulation is tightening on authentication, not on decisioning.</w:t>
      </w:r>
      <w:r>
        <w:t xml:space="preserve"> RBI's new authentication directions (effective April 1, 2026) require two factors on every digital payment, at least one dynamically generated. FY25 RBI data: fraud case count fell 34%, but fraud amount nearly tripled to ₹36,014 crore, driven mostly by high-value loan-fraud reclassification.</w:t>
      </w:r>
    </w:p>
    <w:p>
      <w:pPr>
        <w:pStyle w:val="ListParagraph"/>
        <w:numPr>
          <w:ilvl w:val="0"/>
          <w:numId w:val="2"/>
        </w:numPr>
        <w:spacing w:after="120" w:line="280"/>
      </w:pPr>
      <w:r>
        <w:rPr>
          <w:b/>
          <w:bCs/>
        </w:rPr>
        <w:t xml:space="preserve">AI-enabled attacks on Indian BFSI are already documented, not hypothetical.</w:t>
      </w:r>
      <w:r>
        <w:t xml:space="preserve"> MeitY's Digital Threat Report 2025-26 logs 2.9M cyberattacks on Indian BFSI in 2025 (vs 1.4M in 2021), including a Nov 2025 Claude-assisted campaign that automated ~90% of an attack across 30 companies, and flags that sequential-response tooling is “structurally unprepared” for AI-compressed, parallel attacks.</w:t>
      </w:r>
    </w:p>
    <w:p>
      <w:pPr>
        <w:pStyle w:val="Heading2"/>
      </w:pPr>
      <w:r>
        <w:t xml:space="preserve">Current gaps — what's still lagging</w:t>
      </w:r>
    </w:p>
    <w:p>
      <w:pPr>
        <w:pStyle w:val="ListParagraph"/>
        <w:numPr>
          <w:ilvl w:val="0"/>
          <w:numId w:val="2"/>
        </w:numPr>
        <w:spacing w:after="100" w:line="280"/>
      </w:pPr>
      <w:r>
        <w:t xml:space="preserve">Good fraud tooling skews toward large merchants — Signifyd/Forter/Riskified/Justt-style tooling is priced and configured for high-GMV enterprise contracts; small and mid Indian merchants get PSP defaults or templated tools only.</w:t>
      </w:r>
    </w:p>
    <w:p>
      <w:pPr>
        <w:pStyle w:val="ListParagraph"/>
        <w:numPr>
          <w:ilvl w:val="0"/>
          <w:numId w:val="2"/>
        </w:numPr>
        <w:spacing w:after="100" w:line="280"/>
      </w:pPr>
      <w:r>
        <w:t xml:space="preserve">Explainability is the industry's own acknowledged weak point — scores and short tags, not causal, auditable reasons. Trust survey data shows a 30-point gap between comfort with “AI for protection” (63%) versus “AI for automated decisions” (31%).</w:t>
      </w:r>
    </w:p>
    <w:p>
      <w:pPr>
        <w:pStyle w:val="ListParagraph"/>
        <w:numPr>
          <w:ilvl w:val="0"/>
          <w:numId w:val="2"/>
        </w:numPr>
        <w:spacing w:after="100" w:line="280"/>
      </w:pPr>
      <w:r>
        <w:t xml:space="preserve">False-positive cost is inconsistently measured and rarely published — vendors advertise fraud-catch multiples far more than over-blocking rates; disclosed false-positive improvements exist only as occasional customer case studies, not standard vendor metrics.</w:t>
      </w:r>
    </w:p>
    <w:p>
      <w:pPr>
        <w:pStyle w:val="ListParagraph"/>
        <w:numPr>
          <w:ilvl w:val="0"/>
          <w:numId w:val="2"/>
        </w:numPr>
        <w:spacing w:after="100" w:line="280"/>
      </w:pPr>
      <w:r>
        <w:t xml:space="preserve">Chargeback evidence assembly is bifurcated by merchant size — bespoke AI drafting is enterprise-only; most small/mid Indian merchants still assemble dispute evidence largely by hand.</w:t>
      </w:r>
    </w:p>
    <w:p>
      <w:pPr>
        <w:pStyle w:val="ListParagraph"/>
        <w:numPr>
          <w:ilvl w:val="0"/>
          <w:numId w:val="2"/>
        </w:numPr>
        <w:spacing w:after="100" w:line="280"/>
      </w:pPr>
      <w:r>
        <w:t xml:space="preserve">Adaptation speed lags AI-generated attack patterns — none of the reviewed products describe adapting specifically to deepfake KYC bypass or agentic multi-vector campaigns, the exact gap MeitY flags as unaddressed.</w:t>
      </w:r>
    </w:p>
    <w:p>
      <w:pPr>
        <w:pStyle w:val="ListParagraph"/>
        <w:numPr>
          <w:ilvl w:val="0"/>
          <w:numId w:val="2"/>
        </w:numPr>
        <w:spacing w:after="100" w:line="280"/>
      </w:pPr>
      <w:r>
        <w:t xml:space="preserve">RBI's April 2026 mandate is authentication-only — it doesn't touch explainability, false-positive standards, or evidence assembly, leaving fraud that survives strong authentication (social engineering, synthetic identity, account takeover post-OTP) comparatively under-addressed.</w:t>
      </w:r>
    </w:p>
    <w:p>
      <w:pPr>
        <w:pStyle w:val="Heading2"/>
      </w:pPr>
      <w:r>
        <w:t xml:space="preserve">The novel opportunity — an explainable chargeback copilot for merchants incumbents don't serve</w:t>
      </w:r>
    </w:p>
    <w:p>
      <w:pPr>
        <w:spacing w:after="160" w:line="300"/>
      </w:pPr>
      <w:r>
        <w:t xml:space="preserve">Rather than another fraud classifier competing with Vulcan and Radar on raw accuracy, build for the two things every incumbent in this research visibly under-serves: merchants too small for Justt/Signifyd-class tooling, and explainability as a first-class output rather than an afterthought.</w:t>
      </w:r>
    </w:p>
    <w:p>
      <w:pPr>
        <w:pStyle w:val="ListParagraph"/>
        <w:numPr>
          <w:ilvl w:val="0"/>
          <w:numId w:val="2"/>
        </w:numPr>
        <w:spacing w:after="120" w:line="280"/>
      </w:pPr>
      <w:r>
        <w:rPr>
          <w:b/>
          <w:bCs/>
        </w:rPr>
        <w:t xml:space="preserve">Chargeback auto-responder scoped for SMB/mid Indian merchants:</w:t>
      </w:r>
      <w:r>
        <w:t xml:space="preserve"> ingest a disputed-transaction record plus evidence (shipping proof, communication logs — synthesized), score dispute-win-likelihood, and draft a structured representment response citing specific evidence fields — the exact capability Justt reserves for enterprise accounts.</w:t>
      </w:r>
    </w:p>
    <w:p>
      <w:pPr>
        <w:pStyle w:val="ListParagraph"/>
        <w:numPr>
          <w:ilvl w:val="0"/>
          <w:numId w:val="2"/>
        </w:numPr>
        <w:spacing w:after="120" w:line="280"/>
      </w:pPr>
      <w:r>
        <w:rPr>
          <w:b/>
          <w:bCs/>
        </w:rPr>
        <w:t xml:space="preserve">Causal explanation as a first-class output, not a bolt-on:</w:t>
      </w:r>
      <w:r>
        <w:t xml:space="preserve"> every score ships with a plain-language reason (“flagged because shipping address changed twice in 10 minutes and billing ZIP doesn't match card issuer region”), directly answering the black-box complaint Sift's own team admits to.</w:t>
      </w:r>
    </w:p>
    <w:p>
      <w:pPr>
        <w:pStyle w:val="ListParagraph"/>
        <w:numPr>
          <w:ilvl w:val="0"/>
          <w:numId w:val="2"/>
        </w:numPr>
        <w:spacing w:after="120" w:line="280"/>
      </w:pPr>
      <w:r>
        <w:rPr>
          <w:b/>
          <w:bCs/>
        </w:rPr>
        <w:t xml:space="preserve">Cost-weighted metrics as the headline result:</w:t>
      </w:r>
      <w:r>
        <w:t xml:space="preserve"> report precision/recall alongside an explicit false-positive cost model (₹ value of legitimate transactions wrongly blocked vs. ₹ value of fraud missed) — matching the track's own ask, and rarer than it should be industry-wide.</w:t>
      </w:r>
    </w:p>
    <w:p>
      <w:pPr>
        <w:pStyle w:val="ListParagraph"/>
        <w:numPr>
          <w:ilvl w:val="0"/>
          <w:numId w:val="2"/>
        </w:numPr>
        <w:spacing w:after="120" w:line="280"/>
      </w:pPr>
      <w:r>
        <w:rPr>
          <w:b/>
          <w:bCs/>
        </w:rPr>
        <w:t xml:space="preserve">Target the authentication-survives-it seam:</w:t>
      </w:r>
      <w:r>
        <w:t xml:space="preserve"> bias the detector toward patterns that get past strong authentication — account-takeover-after-OTP signals, synthetic-identity indicators — since RBI's 2026 mandate explicitly doesn't cover this and MeitY's report names it as the live, unaddressed threat class.</w:t>
      </w:r>
    </w:p>
    <w:p>
      <w:pPr>
        <w:pBdr>
          <w:top w:val="single" w:color="E8C468" w:sz="4" w:space="8"/>
          <w:bottom w:val="single" w:color="E8C468" w:sz="4" w:space="8"/>
          <w:left w:val="single" w:color="E8C468" w:sz="4" w:space="8"/>
          <w:right w:val="single" w:color="E8C468" w:sz="4" w:space="8"/>
        </w:pBdr>
        <w:shd w:fill="FFF6DE" w:color="auto" w:val="clear"/>
        <w:spacing w:after="200" w:before="120" w:line="300"/>
        <w:ind w:left="100" w:right="100"/>
      </w:pPr>
      <w:r>
        <w:rPr>
          <w:b/>
          <w:bCs/>
          <w:color w:val="8A5A00"/>
        </w:rPr>
        <w:t xml:space="preserve">Why this wins:  </w:t>
      </w:r>
      <w:r>
        <w:rPr>
          <w:color w:val="5C4400"/>
        </w:rPr>
        <w:t xml:space="preserve">it doesn't try to out-model Vulcan on raw fraud-catch rate — it targets the two gaps every source in this research independently names: SMB accessibility and explainability, plus the specific fraud class regulation hasn't caught up to yet.</w:t>
      </w:r>
    </w:p>
    <w:p>
      <w:pPr>
        <w:pStyle w:val="Heading2"/>
      </w:pPr>
      <w:r>
        <w:t xml:space="preserve">Sources</w:t>
      </w:r>
    </w:p>
    <w:p>
      <w:pPr>
        <w:pStyle w:val="ListParagraph"/>
        <w:numPr>
          <w:ilvl w:val="0"/>
          <w:numId w:val="3"/>
        </w:numPr>
        <w:spacing w:after="60" w:line="260"/>
      </w:pPr>
      <w:hyperlink w:history="1" r:id="rId90lbl6a0prgkk144xjqmx">
        <w:r>
          <w:rPr>
            <w:rStyle w:val="Hyperlink"/>
            <w:sz w:val="19"/>
            <w:szCs w:val="19"/>
          </w:rPr>
          <w:t xml:space="preserve">Razorpay Tech Blog — Thirdwatch fraud detection</w:t>
        </w:r>
      </w:hyperlink>
    </w:p>
    <w:p>
      <w:pPr>
        <w:pStyle w:val="ListParagraph"/>
        <w:numPr>
          <w:ilvl w:val="0"/>
          <w:numId w:val="3"/>
        </w:numPr>
        <w:spacing w:after="60" w:line="260"/>
      </w:pPr>
      <w:hyperlink w:history="1" r:id="rIdmrja8vrkqe79zyphiuw6n">
        <w:r>
          <w:rPr>
            <w:rStyle w:val="Hyperlink"/>
            <w:sz w:val="19"/>
            <w:szCs w:val="19"/>
          </w:rPr>
          <w:t xml:space="preserve">Business Standard / DQIndia coverage — Razorpay Vulcan launch</w:t>
        </w:r>
      </w:hyperlink>
    </w:p>
    <w:p>
      <w:pPr>
        <w:pStyle w:val="ListParagraph"/>
        <w:numPr>
          <w:ilvl w:val="0"/>
          <w:numId w:val="3"/>
        </w:numPr>
        <w:spacing w:after="60" w:line="260"/>
      </w:pPr>
      <w:hyperlink w:history="1" r:id="rIdyoigwezym0ebecqc4d2jp">
        <w:r>
          <w:rPr>
            <w:rStyle w:val="Hyperlink"/>
            <w:sz w:val="19"/>
            <w:szCs w:val="19"/>
          </w:rPr>
          <w:t xml:space="preserve">Stripe Radar</w:t>
        </w:r>
      </w:hyperlink>
    </w:p>
    <w:p>
      <w:pPr>
        <w:pStyle w:val="ListParagraph"/>
        <w:numPr>
          <w:ilvl w:val="0"/>
          <w:numId w:val="3"/>
        </w:numPr>
        <w:spacing w:after="60" w:line="260"/>
      </w:pPr>
      <w:hyperlink w:history="1" r:id="rIdyerxtrv5y56v0ukgr9et1">
        <w:r>
          <w:rPr>
            <w:rStyle w:val="Hyperlink"/>
            <w:sz w:val="19"/>
            <w:szCs w:val="19"/>
          </w:rPr>
          <w:t xml:space="preserve">Signifyd — pricing / liability guarantee model</w:t>
        </w:r>
      </w:hyperlink>
    </w:p>
    <w:p>
      <w:pPr>
        <w:pStyle w:val="ListParagraph"/>
        <w:numPr>
          <w:ilvl w:val="0"/>
          <w:numId w:val="3"/>
        </w:numPr>
        <w:spacing w:after="60" w:line="260"/>
      </w:pPr>
      <w:hyperlink w:history="1" r:id="rIdi6cra8gyn4wrsiu5_1a98">
        <w:r>
          <w:rPr>
            <w:rStyle w:val="Hyperlink"/>
            <w:sz w:val="19"/>
            <w:szCs w:val="19"/>
          </w:rPr>
          <w:t xml:space="preserve">Justt — AI-drafted chargeback representment</w:t>
        </w:r>
      </w:hyperlink>
    </w:p>
    <w:p>
      <w:pPr>
        <w:pStyle w:val="ListParagraph"/>
        <w:numPr>
          <w:ilvl w:val="0"/>
          <w:numId w:val="3"/>
        </w:numPr>
        <w:spacing w:after="60" w:line="260"/>
      </w:pPr>
      <w:hyperlink w:history="1" r:id="rId072nef9fg-cz5zhqljo_f">
        <w:r>
          <w:rPr>
            <w:rStyle w:val="Hyperlink"/>
            <w:sz w:val="19"/>
            <w:szCs w:val="19"/>
          </w:rPr>
          <w:t xml:space="preserve">Business Standard / IBM coverage — RBI authentication directions, April 2026</w:t>
        </w:r>
      </w:hyperlink>
    </w:p>
    <w:p>
      <w:pPr>
        <w:pStyle w:val="ListParagraph"/>
        <w:numPr>
          <w:ilvl w:val="0"/>
          <w:numId w:val="3"/>
        </w:numPr>
        <w:spacing w:after="60" w:line="260"/>
      </w:pPr>
      <w:hyperlink w:history="1" r:id="rIdpnupvszbul7lyaile9hrs">
        <w:r>
          <w:rPr>
            <w:rStyle w:val="Hyperlink"/>
            <w:sz w:val="19"/>
            <w:szCs w:val="19"/>
          </w:rPr>
          <w:t xml:space="preserve">Medianama / CRN Asia coverage — MeitY Digital Threat Report 2025-26</w:t>
        </w:r>
      </w:hyperlink>
    </w:p>
    <w:p>
      <w:pPr>
        <w:pStyle w:val="ListParagraph"/>
        <w:numPr>
          <w:ilvl w:val="0"/>
          <w:numId w:val="3"/>
        </w:numPr>
        <w:spacing w:after="60" w:line="260"/>
      </w:pPr>
      <w:hyperlink w:history="1" r:id="rIdxrtzuoqvlcudfvoundgbt">
        <w:r>
          <w:rPr>
            <w:rStyle w:val="Hyperlink"/>
            <w:sz w:val="19"/>
            <w:szCs w:val="19"/>
          </w:rPr>
          <w:t xml:space="preserve">Experian 2026 fraud forecast — agentic-AI and deepfake fraud</w:t>
        </w:r>
      </w:hyperlink>
    </w:p>
    <w:p>
      <w:r>
        <w:br w:type="page"/>
      </w:r>
    </w:p>
    <w:p>
      <w:pPr>
        <w:pStyle w:val="Heading1"/>
      </w:pPr>
      <w:r>
        <w:t xml:space="preserve">3. Track 3 — AI Revenue Recovery</w:t>
      </w:r>
    </w:p>
    <w:p>
      <w:pPr>
        <w:pStyle w:val="Heading2"/>
      </w:pPr>
      <w:r>
        <w:t xml:space="preserve">What's already built</w:t>
      </w:r>
    </w:p>
    <w:p>
      <w:pPr>
        <w:pStyle w:val="ListParagraph"/>
        <w:numPr>
          <w:ilvl w:val="0"/>
          <w:numId w:val="2"/>
        </w:numPr>
        <w:spacing w:after="120" w:line="280"/>
      </w:pPr>
      <w:r>
        <w:rPr>
          <w:b/>
          <w:bCs/>
        </w:rPr>
        <w:t xml:space="preserve">Razorpay already has three separate point products here — and they don't talk to each other.</w:t>
      </w:r>
      <w:r>
        <w:t xml:space="preserve"> Optimizer is pre-failure ML routing (which acquirer to use), claiming up to ~10% success-rate lift. Failed Payment Recovery sends templated payment links via WhatsApp/email/SMS after a failure, claiming up to 20% revenue reclaim but disclosing no ML personalization or stated cadence. Subscriptions retry is a rigid fixed schedule (T+1/T+2/T+3, then halted) with no per-customer timing logic.</w:t>
      </w:r>
    </w:p>
    <w:p>
      <w:pPr>
        <w:pStyle w:val="ListParagraph"/>
        <w:numPr>
          <w:ilvl w:val="0"/>
          <w:numId w:val="2"/>
        </w:numPr>
        <w:spacing w:after="120" w:line="280"/>
      </w:pPr>
      <w:r>
        <w:rPr>
          <w:b/>
          <w:bCs/>
        </w:rPr>
        <w:t xml:space="preserve">Global SaaS dunning platforms have solved retry timing well.</w:t>
      </w:r>
      <w:r>
        <w:t xml:space="preserve"> Stripe Smart Retries uses an ensemble model over 500+ signals for per-payment optimal retry timing (cites $9 recovered per $1 spent on Billing). Chargebee's Revive (200+ signals) lifted revival from 58.4% to 73.3% in disclosed cases. Paddle Retain combines dynamic retry timing with up to 4 sequenced dunning emails — the closest thing to real orchestration among these, but still email/in-app only.</w:t>
      </w:r>
    </w:p>
    <w:p>
      <w:pPr>
        <w:pStyle w:val="ListParagraph"/>
        <w:numPr>
          <w:ilvl w:val="0"/>
          <w:numId w:val="2"/>
        </w:numPr>
        <w:spacing w:after="120" w:line="280"/>
      </w:pPr>
      <w:r>
        <w:rPr>
          <w:b/>
          <w:bCs/>
        </w:rPr>
        <w:t xml:space="preserve">India's collections tech is more channel-rich but built for lenders, not merchants.</w:t>
      </w:r>
      <w:r>
        <w:t xml:space="preserve"> Credgenics runs voice (AI voicebot), WhatsApp, SMS, email, IVR and field-agent workflows across 8+ languages for banks/NBFCs, with DND/frequency/calling-hour controls built in as policy config. SquadStack and similar voicebot vendors support 10 Indian languages with compliance-logged calls, claiming 45-70% lower ops cost versus manual calling.</w:t>
      </w:r>
    </w:p>
    <w:p>
      <w:pPr>
        <w:pStyle w:val="ListParagraph"/>
        <w:numPr>
          <w:ilvl w:val="0"/>
          <w:numId w:val="2"/>
        </w:numPr>
        <w:spacing w:after="120" w:line="280"/>
      </w:pPr>
      <w:r>
        <w:rPr>
          <w:b/>
          <w:bCs/>
        </w:rPr>
        <w:t xml:space="preserve">The regulatory guardrails are explicit and non-trivial.</w:t>
      </w:r>
      <w:r>
        <w:t xml:space="preserve"> TRAI/DLT rules require payment reminders to stay purely transactional (no promotional language) to keep their exemption from the promotional-hours window. RBI recovery-agent conduct rules restrict calls to 8am-7pm Mon-Sat, ban third-party contact without consent, and (per the 2025 Digital Lending Directions) require a pre-contact notification before any recovery call.</w:t>
      </w:r>
    </w:p>
    <w:p>
      <w:pPr>
        <w:pStyle w:val="Heading2"/>
      </w:pPr>
      <w:r>
        <w:t xml:space="preserve">Current gaps — what's still lagging</w:t>
      </w:r>
    </w:p>
    <w:p>
      <w:pPr>
        <w:pStyle w:val="ListParagraph"/>
        <w:numPr>
          <w:ilvl w:val="0"/>
          <w:numId w:val="2"/>
        </w:numPr>
        <w:spacing w:after="100" w:line="280"/>
      </w:pPr>
      <w:r>
        <w:t xml:space="preserve">Personalization stops at timing, not choice — Stripe/Chargebee/Paddle personalize when to retry a card; none of the surveyed products decide whether to offer a discount, escalate to a human, switch channel, or give up, per customer, weighed against cost.</w:t>
      </w:r>
    </w:p>
    <w:p>
      <w:pPr>
        <w:pStyle w:val="ListParagraph"/>
        <w:numPr>
          <w:ilvl w:val="0"/>
          <w:numId w:val="2"/>
        </w:numPr>
        <w:spacing w:after="100" w:line="280"/>
      </w:pPr>
      <w:r>
        <w:t xml:space="preserve">Channels are siloed, not sequenced as one policy — SaaS dunning tools live almost entirely in email; India collections tools live in voice/WhatsApp/SMS. No surveyed product runs one coherent “email failed → try WhatsApp → try SMS → escalate to voice → human” state machine with shared state and stopping logic.</w:t>
      </w:r>
    </w:p>
    <w:p>
      <w:pPr>
        <w:pStyle w:val="ListParagraph"/>
        <w:numPr>
          <w:ilvl w:val="0"/>
          <w:numId w:val="2"/>
        </w:numPr>
        <w:spacing w:after="100" w:line="280"/>
      </w:pPr>
      <w:r>
        <w:t xml:space="preserve">Compliance is bolt-on and enterprise-gated — DND/frequency-cap/calling-hour controls exist inside expensive lender-scale platforms (Credgenics); smaller merchants' SMS/WhatsApp tools generally leave TRAI/RBI compliance to manual template discipline.</w:t>
      </w:r>
    </w:p>
    <w:p>
      <w:pPr>
        <w:pStyle w:val="ListParagraph"/>
        <w:numPr>
          <w:ilvl w:val="0"/>
          <w:numId w:val="2"/>
        </w:numPr>
        <w:spacing w:after="100" w:line="280"/>
      </w:pPr>
      <w:r>
        <w:t xml:space="preserve">Cost-of-intervention vs. probability-of-recovery is invisible in vendor materials — no surveyed product appears to compute an expected-value tradeoff (“is a ₹50 discount worth it for a customer with 30% win-back odds”); decisions look playbook-driven, not case-economics-driven.</w:t>
      </w:r>
    </w:p>
    <w:p>
      <w:pPr>
        <w:pStyle w:val="ListParagraph"/>
        <w:numPr>
          <w:ilvl w:val="0"/>
          <w:numId w:val="2"/>
        </w:numPr>
        <w:spacing w:after="100" w:line="280"/>
      </w:pPr>
      <w:r>
        <w:t xml:space="preserve">Razorpay's own recovery products are disconnected — Optimizer, Failed Payment Recovery, and Subscriptions retry are three non-integrated logics with no shared audit trail or unified stopping rule across them.</w:t>
      </w:r>
    </w:p>
    <w:p>
      <w:pPr>
        <w:pStyle w:val="ListParagraph"/>
        <w:numPr>
          <w:ilvl w:val="0"/>
          <w:numId w:val="2"/>
        </w:numPr>
        <w:spacing w:after="100" w:line="280"/>
      </w:pPr>
      <w:r>
        <w:t xml:space="preserve">Sophisticated orchestration is inaccessible to small merchants — the ML-driven tools sit behind a subscription-billing platform migration; the compliance-hardened tools are priced for banks/NBFCs, not a mid-size D2C merchant on Razorpay.</w:t>
      </w:r>
    </w:p>
    <w:p>
      <w:pPr>
        <w:pStyle w:val="Heading2"/>
      </w:pPr>
      <w:r>
        <w:t xml:space="preserve">The novel opportunity — the recovery orchestrator Razorpay's own stack is missing</w:t>
      </w:r>
    </w:p>
    <w:p>
      <w:pPr>
        <w:spacing w:after="160" w:line="300"/>
      </w:pPr>
      <w:r>
        <w:t xml:space="preserve">The strongest angle here isn't better retry-timing ML — Stripe and Chargebee have that largely solved. It's the decision-and-sequencing layer above retries that visibly doesn't exist anywhere in this research, including inside Razorpay's own product suite.</w:t>
      </w:r>
    </w:p>
    <w:p>
      <w:pPr>
        <w:pStyle w:val="ListParagraph"/>
        <w:numPr>
          <w:ilvl w:val="0"/>
          <w:numId w:val="2"/>
        </w:numPr>
        <w:spacing w:after="120" w:line="280"/>
      </w:pPr>
      <w:r>
        <w:rPr>
          <w:b/>
          <w:bCs/>
        </w:rPr>
        <w:t xml:space="preserve">One state machine per customer/invoice:</w:t>
      </w:r>
      <w:r>
        <w:t xml:space="preserve"> own the full recovery journey — email → WhatsApp → SMS → voice — as a single sequenced policy with shared state and one audit trail, rather than treating each channel as an isolated tool.</w:t>
      </w:r>
    </w:p>
    <w:p>
      <w:pPr>
        <w:pStyle w:val="ListParagraph"/>
        <w:numPr>
          <w:ilvl w:val="0"/>
          <w:numId w:val="2"/>
        </w:numPr>
        <w:spacing w:after="120" w:line="280"/>
      </w:pPr>
      <w:r>
        <w:rPr>
          <w:b/>
          <w:bCs/>
        </w:rPr>
        <w:t xml:space="preserve">Expected-value decisioning at every step:</w:t>
      </w:r>
      <w:r>
        <w:t xml:space="preserve"> explicitly compute recovery-probability × recoverable-amount against the cost of the next action (a discount, a human escalation, a voice call) and choose accordingly — logged as a reason, not a hidden score.</w:t>
      </w:r>
    </w:p>
    <w:p>
      <w:pPr>
        <w:pStyle w:val="ListParagraph"/>
        <w:numPr>
          <w:ilvl w:val="0"/>
          <w:numId w:val="2"/>
        </w:numPr>
        <w:spacing w:after="120" w:line="280"/>
      </w:pPr>
      <w:r>
        <w:rPr>
          <w:b/>
          <w:bCs/>
        </w:rPr>
        <w:t xml:space="preserve">Compliance as a hard constraint in the action space, not a config toggle:</w:t>
      </w:r>
      <w:r>
        <w:t xml:space="preserve"> encode RBI calling-hours, DND, and TRAI's transactional-language rule directly into what actions the agent is allowed to emit, so it is structurally incapable of proposing a disallowed action — a stronger signal than any ML sophistication, and a direct match to the track's own “compliant escalation, stopping rules” language.</w:t>
      </w:r>
    </w:p>
    <w:p>
      <w:pPr>
        <w:pStyle w:val="ListParagraph"/>
        <w:numPr>
          <w:ilvl w:val="0"/>
          <w:numId w:val="2"/>
        </w:numPr>
        <w:spacing w:after="120" w:line="280"/>
      </w:pPr>
      <w:r>
        <w:rPr>
          <w:b/>
          <w:bCs/>
        </w:rPr>
        <w:t xml:space="preserve">Position it explicitly as connective tissue:</w:t>
      </w:r>
      <w:r>
        <w:t xml:space="preserve"> frame the pitch as “Razorpay already has Optimizer and Failed Payment Recovery — this agent is the missing decision layer that sits between and after them, with one shared audit trail.” That's a real, verifiable gap in a product the panel can open themselves.</w:t>
      </w:r>
    </w:p>
    <w:p>
      <w:pPr>
        <w:pBdr>
          <w:top w:val="single" w:color="E8C468" w:sz="4" w:space="8"/>
          <w:bottom w:val="single" w:color="E8C468" w:sz="4" w:space="8"/>
          <w:left w:val="single" w:color="E8C468" w:sz="4" w:space="8"/>
          <w:right w:val="single" w:color="E8C468" w:sz="4" w:space="8"/>
        </w:pBdr>
        <w:shd w:fill="FFF6DE" w:color="auto" w:val="clear"/>
        <w:spacing w:after="200" w:before="120" w:line="300"/>
        <w:ind w:left="100" w:right="100"/>
      </w:pPr>
      <w:r>
        <w:rPr>
          <w:b/>
          <w:bCs/>
          <w:color w:val="8A5A00"/>
        </w:rPr>
        <w:t xml:space="preserve">Why this wins:  </w:t>
      </w:r>
      <w:r>
        <w:rPr>
          <w:color w:val="5C4400"/>
        </w:rPr>
        <w:t xml:space="preserve">this is the one concept in the whole set that a reviewer can literally check against Razorpay's own documented products and confirm the seam is real — that's a materially stronger pitch than “the market has this gap somewhere.”</w:t>
      </w:r>
    </w:p>
    <w:p>
      <w:pPr>
        <w:pStyle w:val="Heading2"/>
      </w:pPr>
      <w:r>
        <w:t xml:space="preserve">Sources</w:t>
      </w:r>
    </w:p>
    <w:p>
      <w:pPr>
        <w:pStyle w:val="ListParagraph"/>
        <w:numPr>
          <w:ilvl w:val="0"/>
          <w:numId w:val="3"/>
        </w:numPr>
        <w:spacing w:after="60" w:line="260"/>
      </w:pPr>
      <w:hyperlink w:history="1" r:id="rIdpper2gy5rmzzu72wqmhau">
        <w:r>
          <w:rPr>
            <w:rStyle w:val="Hyperlink"/>
            <w:sz w:val="19"/>
            <w:szCs w:val="19"/>
          </w:rPr>
          <w:t xml:space="preserve">Razorpay — Optimizer AI/ML routing</w:t>
        </w:r>
      </w:hyperlink>
    </w:p>
    <w:p>
      <w:pPr>
        <w:pStyle w:val="ListParagraph"/>
        <w:numPr>
          <w:ilvl w:val="0"/>
          <w:numId w:val="3"/>
        </w:numPr>
        <w:spacing w:after="60" w:line="260"/>
      </w:pPr>
      <w:hyperlink w:history="1" r:id="rIdj2fucpzytirwvsx8igniq">
        <w:r>
          <w:rPr>
            <w:rStyle w:val="Hyperlink"/>
            <w:sz w:val="19"/>
            <w:szCs w:val="19"/>
          </w:rPr>
          <w:t xml:space="preserve">Razorpay — Failed Payment Recovery</w:t>
        </w:r>
      </w:hyperlink>
    </w:p>
    <w:p>
      <w:pPr>
        <w:pStyle w:val="ListParagraph"/>
        <w:numPr>
          <w:ilvl w:val="0"/>
          <w:numId w:val="3"/>
        </w:numPr>
        <w:spacing w:after="60" w:line="260"/>
      </w:pPr>
      <w:hyperlink w:history="1" r:id="rIdepuh3o0mdhupl0zkscchr">
        <w:r>
          <w:rPr>
            <w:rStyle w:val="Hyperlink"/>
            <w:sz w:val="19"/>
            <w:szCs w:val="19"/>
          </w:rPr>
          <w:t xml:space="preserve">Razorpay Docs — Subscriptions payment retries</w:t>
        </w:r>
      </w:hyperlink>
    </w:p>
    <w:p>
      <w:pPr>
        <w:pStyle w:val="ListParagraph"/>
        <w:numPr>
          <w:ilvl w:val="0"/>
          <w:numId w:val="3"/>
        </w:numPr>
        <w:spacing w:after="60" w:line="260"/>
      </w:pPr>
      <w:hyperlink w:history="1" r:id="rIdfmodxsg0gl5v1_yzm240c">
        <w:r>
          <w:rPr>
            <w:rStyle w:val="Hyperlink"/>
            <w:sz w:val="19"/>
            <w:szCs w:val="19"/>
          </w:rPr>
          <w:t xml:space="preserve">Stripe — How we built Smart Retries</w:t>
        </w:r>
      </w:hyperlink>
    </w:p>
    <w:p>
      <w:pPr>
        <w:pStyle w:val="ListParagraph"/>
        <w:numPr>
          <w:ilvl w:val="0"/>
          <w:numId w:val="3"/>
        </w:numPr>
        <w:spacing w:after="60" w:line="260"/>
      </w:pPr>
      <w:hyperlink w:history="1" r:id="rIdzx9zm2twk296viiliczmp">
        <w:r>
          <w:rPr>
            <w:rStyle w:val="Hyperlink"/>
            <w:sz w:val="19"/>
            <w:szCs w:val="19"/>
          </w:rPr>
          <w:t xml:space="preserve">Chargebee — Retries and dunning (Revive)</w:t>
        </w:r>
      </w:hyperlink>
    </w:p>
    <w:p>
      <w:pPr>
        <w:pStyle w:val="ListParagraph"/>
        <w:numPr>
          <w:ilvl w:val="0"/>
          <w:numId w:val="3"/>
        </w:numPr>
        <w:spacing w:after="60" w:line="260"/>
      </w:pPr>
      <w:hyperlink w:history="1" r:id="rIdxfihrmwk7xyreeg4jm_fv">
        <w:r>
          <w:rPr>
            <w:rStyle w:val="Hyperlink"/>
            <w:sz w:val="19"/>
            <w:szCs w:val="19"/>
          </w:rPr>
          <w:t xml:space="preserve">Paddle — Retain payment recovery / retry cadence</w:t>
        </w:r>
      </w:hyperlink>
    </w:p>
    <w:p>
      <w:pPr>
        <w:pStyle w:val="ListParagraph"/>
        <w:numPr>
          <w:ilvl w:val="0"/>
          <w:numId w:val="3"/>
        </w:numPr>
        <w:spacing w:after="60" w:line="260"/>
      </w:pPr>
      <w:hyperlink w:history="1" r:id="rIdu0yy8h9eclnl-erb-1gun">
        <w:r>
          <w:rPr>
            <w:rStyle w:val="Hyperlink"/>
            <w:sz w:val="19"/>
            <w:szCs w:val="19"/>
          </w:rPr>
          <w:t xml:space="preserve">Credgenics — AI-driven collections platform</w:t>
        </w:r>
      </w:hyperlink>
    </w:p>
    <w:p>
      <w:pPr>
        <w:pStyle w:val="ListParagraph"/>
        <w:numPr>
          <w:ilvl w:val="0"/>
          <w:numId w:val="3"/>
        </w:numPr>
        <w:spacing w:after="60" w:line="260"/>
      </w:pPr>
      <w:hyperlink w:history="1" r:id="rIdgvrgljaanmotks_j5c5pq">
        <w:r>
          <w:rPr>
            <w:rStyle w:val="Hyperlink"/>
            <w:sz w:val="19"/>
            <w:szCs w:val="19"/>
          </w:rPr>
          <w:t xml:space="preserve">SquadStack — AI voicebot for debt collection</w:t>
        </w:r>
      </w:hyperlink>
    </w:p>
    <w:p>
      <w:pPr>
        <w:pStyle w:val="ListParagraph"/>
        <w:numPr>
          <w:ilvl w:val="0"/>
          <w:numId w:val="3"/>
        </w:numPr>
        <w:spacing w:after="60" w:line="260"/>
      </w:pPr>
      <w:hyperlink w:history="1" r:id="rId6lcvhefbniyktw0abjymv">
        <w:r>
          <w:rPr>
            <w:rStyle w:val="Hyperlink"/>
            <w:sz w:val="19"/>
            <w:szCs w:val="19"/>
          </w:rPr>
          <w:t xml:space="preserve">Message Central — India SMS/DLT guidelines</w:t>
        </w:r>
      </w:hyperlink>
    </w:p>
    <w:p>
      <w:pPr>
        <w:pStyle w:val="ListParagraph"/>
        <w:numPr>
          <w:ilvl w:val="0"/>
          <w:numId w:val="3"/>
        </w:numPr>
        <w:spacing w:after="60" w:line="260"/>
      </w:pPr>
      <w:hyperlink w:history="1" r:id="rIdfl0mglvkp1l7wiqptsqdd">
        <w:r>
          <w:rPr>
            <w:rStyle w:val="Hyperlink"/>
            <w:sz w:val="19"/>
            <w:szCs w:val="19"/>
          </w:rPr>
          <w:t xml:space="preserve">Bajaj Finserv — RBI guidelines for recovery agents</w:t>
        </w:r>
      </w:hyperlink>
    </w:p>
    <w:p>
      <w:pPr>
        <w:pStyle w:val="ListParagraph"/>
        <w:numPr>
          <w:ilvl w:val="0"/>
          <w:numId w:val="3"/>
        </w:numPr>
        <w:spacing w:after="60" w:line="260"/>
      </w:pPr>
      <w:hyperlink w:history="1" r:id="rIdk5y-ltxijxvlw0u8tqxw0">
        <w:r>
          <w:rPr>
            <w:rStyle w:val="Hyperlink"/>
            <w:sz w:val="19"/>
            <w:szCs w:val="19"/>
          </w:rPr>
          <w:t xml:space="preserve">IndiaCorpLaw — RBI's revised digital lending guidelines (2025)</w:t>
        </w:r>
      </w:hyperlink>
    </w:p>
    <w:p>
      <w:r>
        <w:br w:type="page"/>
      </w:r>
    </w:p>
    <w:p>
      <w:pPr>
        <w:pStyle w:val="Heading1"/>
      </w:pPr>
      <w:r>
        <w:t xml:space="preserve">4. Track 4 — AI Finance Controller</w:t>
      </w:r>
    </w:p>
    <w:p>
      <w:pPr>
        <w:pStyle w:val="Heading2"/>
      </w:pPr>
      <w:r>
        <w:t xml:space="preserve">What's already built</w:t>
      </w:r>
    </w:p>
    <w:p>
      <w:pPr>
        <w:pStyle w:val="ListParagraph"/>
        <w:numPr>
          <w:ilvl w:val="0"/>
          <w:numId w:val="2"/>
        </w:numPr>
        <w:spacing w:after="120" w:line="280"/>
      </w:pPr>
      <w:r>
        <w:rPr>
          <w:b/>
          <w:bCs/>
        </w:rPr>
        <w:t xml:space="preserve">Razorpay's own settlement tooling stops at reporting for the hardest case.</w:t>
      </w:r>
      <w:r>
        <w:t xml:space="preserve"> Razorpay Route (its marketplace split-payment product) documentation is explicitly API-driven reporting for split settlements — it does not claim automated cross-vendor reconciliation. RazorpayX and the settlements dashboard give merchants visibility, but the multi-party matching itself is left to the merchant.</w:t>
      </w:r>
    </w:p>
    <w:p>
      <w:pPr>
        <w:pStyle w:val="ListParagraph"/>
        <w:numPr>
          <w:ilvl w:val="0"/>
          <w:numId w:val="2"/>
        </w:numPr>
        <w:spacing w:after="120" w:line="280"/>
      </w:pPr>
      <w:r>
        <w:rPr>
          <w:b/>
          <w:bCs/>
        </w:rPr>
        <w:t xml:space="preserve">Enterprise record-to-report platforms are mature but expensive and generic.</w:t>
      </w:r>
      <w:r>
        <w:t xml:space="preserve"> BlackLine, Trintech, and HighRadius offer account reconciliation, matching, and close automation at large scale, with growing AI-assisted matching — but they're built for large finance orgs, not payments-marketplace-specific splits, and are priced accordingly. AppZen focuses more on expense/invoice auditing.</w:t>
      </w:r>
    </w:p>
    <w:p>
      <w:pPr>
        <w:pStyle w:val="ListParagraph"/>
        <w:numPr>
          <w:ilvl w:val="0"/>
          <w:numId w:val="2"/>
        </w:numPr>
        <w:spacing w:after="120" w:line="280"/>
      </w:pPr>
      <w:r>
        <w:rPr>
          <w:b/>
          <w:bCs/>
        </w:rPr>
        <w:t xml:space="preserve">India SMB accounting tools handle basic reconciliation, not complex splits.</w:t>
      </w:r>
      <w:r>
        <w:t xml:space="preserve"> Zoho Books and TallyPrime offer bank-feed and ledger reconciliation with rule-based matching; ClearTax focuses on GST-specific reconciliation. None are built for multi-vendor marketplace settlement splits.</w:t>
      </w:r>
    </w:p>
    <w:p>
      <w:pPr>
        <w:pStyle w:val="ListParagraph"/>
        <w:numPr>
          <w:ilvl w:val="0"/>
          <w:numId w:val="2"/>
        </w:numPr>
        <w:spacing w:after="120" w:line="280"/>
      </w:pPr>
      <w:r>
        <w:rPr>
          <w:b/>
          <w:bCs/>
        </w:rPr>
        <w:t xml:space="preserve">A marketplace-reconciliation specialist exists but the space is thin.</w:t>
      </w:r>
      <w:r>
        <w:t xml:space="preserve"> Vendors like NAYA focus specifically on marketplace/split-payment reconciliation, suggesting the problem is recognized as distinct — but the category has very few players relative to general reconciliation software, and few if any lean on LLM-based exception explanation.</w:t>
      </w:r>
    </w:p>
    <w:p>
      <w:pPr>
        <w:pStyle w:val="ListParagraph"/>
        <w:numPr>
          <w:ilvl w:val="0"/>
          <w:numId w:val="2"/>
        </w:numPr>
        <w:spacing w:after="120" w:line="280"/>
      </w:pPr>
      <w:r>
        <w:rPr>
          <w:b/>
          <w:bCs/>
        </w:rPr>
        <w:t xml:space="preserve">Academic interest in LLM-based financial-agent auditing is emerging.</w:t>
      </w:r>
      <w:r>
        <w:t xml:space="preserve"> Recent research (e.g. arXiv 2502.15865) looks at risk-auditing LLM-driven financial agents, signalling the underlying idea — an LLM reasoning over financial exceptions — is technically current, not speculative.</w:t>
      </w:r>
    </w:p>
    <w:p>
      <w:pPr>
        <w:pStyle w:val="Heading2"/>
      </w:pPr>
      <w:r>
        <w:t xml:space="preserve">Current gaps — what's still lagging</w:t>
      </w:r>
    </w:p>
    <w:p>
      <w:pPr>
        <w:pStyle w:val="ListParagraph"/>
        <w:numPr>
          <w:ilvl w:val="0"/>
          <w:numId w:val="2"/>
        </w:numPr>
        <w:spacing w:after="100" w:line="280"/>
      </w:pPr>
      <w:r>
        <w:t xml:space="preserve">Fuzzy/semantic matching is the weak point across the board — partial payments, split settlements across multiple vendors, timing offsets, and rounding/fee differences are exactly the cases exact-match rule engines handle poorly, and it's precisely this category that Razorpay's own Route product leaves to the merchant.</w:t>
      </w:r>
    </w:p>
    <w:p>
      <w:pPr>
        <w:pStyle w:val="ListParagraph"/>
        <w:numPr>
          <w:ilvl w:val="0"/>
          <w:numId w:val="2"/>
        </w:numPr>
        <w:spacing w:after="100" w:line="280"/>
      </w:pPr>
      <w:r>
        <w:t xml:space="preserve">Exception explainability is close to absent — most tools drop an unmatched record into an “exceptions” bucket for a human to manually investigate, rather than explaining in plain language why it didn't match.</w:t>
      </w:r>
    </w:p>
    <w:p>
      <w:pPr>
        <w:pStyle w:val="ListParagraph"/>
        <w:numPr>
          <w:ilvl w:val="0"/>
          <w:numId w:val="2"/>
        </w:numPr>
        <w:spacing w:after="100" w:line="280"/>
      </w:pPr>
      <w:r>
        <w:t xml:space="preserve">No continuous learning from analyst corrections — when a human manually resolves an exception pattern, that resolution logic isn't captured; the same pattern typically has to be re-diagnosed by hand next month.</w:t>
      </w:r>
    </w:p>
    <w:p>
      <w:pPr>
        <w:pStyle w:val="ListParagraph"/>
        <w:numPr>
          <w:ilvl w:val="0"/>
          <w:numId w:val="2"/>
        </w:numPr>
        <w:spacing w:after="100" w:line="280"/>
      </w:pPr>
      <w:r>
        <w:t xml:space="preserve">Marketplace/split-payment reconciliation is a known, named hard problem that's thinly served — general reconciliation vendors (BlackLine, Trintech, HighRadius) aren't built around multi-party splits, and Razorpay's own Route docs confirm they don't solve it either.</w:t>
      </w:r>
    </w:p>
    <w:p>
      <w:pPr>
        <w:pStyle w:val="ListParagraph"/>
        <w:numPr>
          <w:ilvl w:val="0"/>
          <w:numId w:val="2"/>
        </w:numPr>
        <w:spacing w:after="100" w:line="280"/>
      </w:pPr>
      <w:r>
        <w:t xml:space="preserve">Enterprise-grade tooling is priced out of reach for the merchants who'd benefit most — BlackLine-class platforms assume a large finance team and budget; the SMB tools that are affordable (Zoho, Tally) don't handle split-settlement complexity at all.</w:t>
      </w:r>
    </w:p>
    <w:p>
      <w:pPr>
        <w:pStyle w:val="Heading2"/>
      </w:pPr>
      <w:r>
        <w:t xml:space="preserve">The novel opportunity — a marketplace split-settlement reconciliation copilot</w:t>
      </w:r>
    </w:p>
    <w:p>
      <w:pPr>
        <w:spacing w:after="160" w:line="300"/>
      </w:pPr>
      <w:r>
        <w:t xml:space="preserve">This is the one track where Razorpay's own documentation states the gap outright: Route reports split settlements but doesn't reconcile them. Building directly against that named boundary is the most legible “this fills a real gap” story of any of the four tracks.</w:t>
      </w:r>
    </w:p>
    <w:p>
      <w:pPr>
        <w:pStyle w:val="ListParagraph"/>
        <w:numPr>
          <w:ilvl w:val="0"/>
          <w:numId w:val="2"/>
        </w:numPr>
        <w:spacing w:after="120" w:line="280"/>
      </w:pPr>
      <w:r>
        <w:rPr>
          <w:b/>
          <w:bCs/>
        </w:rPr>
        <w:t xml:space="preserve">Multi-party matching engine:</w:t>
      </w:r>
      <w:r>
        <w:t xml:space="preserve"> match a Route-style split-settlement report against per-vendor ledgers, explicitly handling partial payments, platform-fee/rounding differences, timing offsets, and duplicate entries — the exact failure modes that break simple exact-match rules.</w:t>
      </w:r>
    </w:p>
    <w:p>
      <w:pPr>
        <w:pStyle w:val="ListParagraph"/>
        <w:numPr>
          <w:ilvl w:val="0"/>
          <w:numId w:val="2"/>
        </w:numPr>
        <w:spacing w:after="120" w:line="280"/>
      </w:pPr>
      <w:r>
        <w:rPr>
          <w:b/>
          <w:bCs/>
        </w:rPr>
        <w:t xml:space="preserve">Plain-language exception explanations:</w:t>
      </w:r>
      <w:r>
        <w:t xml:space="preserve"> every unresolved record ships with a causal explanation (“this ₹412 gap is most likely the platform commission plus a same-day timing offset, not a missing payment”) instead of a bare “unmatched” tag.</w:t>
      </w:r>
    </w:p>
    <w:p>
      <w:pPr>
        <w:pStyle w:val="ListParagraph"/>
        <w:numPr>
          <w:ilvl w:val="0"/>
          <w:numId w:val="2"/>
        </w:numPr>
        <w:spacing w:after="120" w:line="280"/>
      </w:pPr>
      <w:r>
        <w:rPr>
          <w:b/>
          <w:bCs/>
        </w:rPr>
        <w:t xml:space="preserve">A “teach it once” feedback loop:</w:t>
      </w:r>
      <w:r>
        <w:t xml:space="preserve"> when an analyst manually resolves an exception, capture that resolution as a reusable matching rule so the same pattern is handled automatically next time — directly targeting the “no continuous learning” gap.</w:t>
      </w:r>
    </w:p>
    <w:p>
      <w:pPr>
        <w:pStyle w:val="ListParagraph"/>
        <w:numPr>
          <w:ilvl w:val="0"/>
          <w:numId w:val="2"/>
        </w:numPr>
        <w:spacing w:after="120" w:line="280"/>
      </w:pPr>
      <w:r>
        <w:rPr>
          <w:b/>
          <w:bCs/>
        </w:rPr>
        <w:t xml:space="preserve">Report the honest exception list, not a cherry-picked match:</w:t>
      </w:r>
      <w:r>
        <w:t xml:space="preserve"> throughput (records/second), measured match-rate accuracy, and a full unresolved-exception list with reasons — exactly the track's own evaluation bar, and the place most entrants will be tempted to fudge.</w:t>
      </w:r>
    </w:p>
    <w:p>
      <w:pPr>
        <w:pBdr>
          <w:top w:val="single" w:color="E8C468" w:sz="4" w:space="8"/>
          <w:bottom w:val="single" w:color="E8C468" w:sz="4" w:space="8"/>
          <w:left w:val="single" w:color="E8C468" w:sz="4" w:space="8"/>
          <w:right w:val="single" w:color="E8C468" w:sz="4" w:space="8"/>
        </w:pBdr>
        <w:shd w:fill="FFF6DE" w:color="auto" w:val="clear"/>
        <w:spacing w:after="200" w:before="120" w:line="300"/>
        <w:ind w:left="100" w:right="100"/>
      </w:pPr>
      <w:r>
        <w:rPr>
          <w:b/>
          <w:bCs/>
          <w:color w:val="8A5A00"/>
        </w:rPr>
        <w:t xml:space="preserve">Why this wins:  </w:t>
      </w:r>
      <w:r>
        <w:rPr>
          <w:color w:val="5C4400"/>
        </w:rPr>
        <w:t xml:space="preserve">of all four tracks, this is the one where you can point at Razorpay's own product documentation and say “here is the line where their own reporting stops and reconciliation would need to start” — that's about as concrete as a gap claim can get in a pitch video.</w:t>
      </w:r>
    </w:p>
    <w:p>
      <w:pPr>
        <w:pStyle w:val="Heading2"/>
      </w:pPr>
      <w:r>
        <w:t xml:space="preserve">Sources</w:t>
      </w:r>
    </w:p>
    <w:p>
      <w:pPr>
        <w:pStyle w:val="ListParagraph"/>
        <w:numPr>
          <w:ilvl w:val="0"/>
          <w:numId w:val="3"/>
        </w:numPr>
        <w:spacing w:after="60" w:line="260"/>
      </w:pPr>
      <w:hyperlink w:history="1" r:id="rIdfrhbzeowwfliuwenz2ju9">
        <w:r>
          <w:rPr>
            <w:rStyle w:val="Hyperlink"/>
            <w:sz w:val="19"/>
            <w:szCs w:val="19"/>
          </w:rPr>
          <w:t xml:space="preserve">Razorpay Docs — Route (marketplace split payments)</w:t>
        </w:r>
      </w:hyperlink>
    </w:p>
    <w:p>
      <w:pPr>
        <w:pStyle w:val="ListParagraph"/>
        <w:numPr>
          <w:ilvl w:val="0"/>
          <w:numId w:val="3"/>
        </w:numPr>
        <w:spacing w:after="60" w:line="260"/>
      </w:pPr>
      <w:hyperlink w:history="1" r:id="rIditedpjlkigbswrjtmqtbo">
        <w:r>
          <w:rPr>
            <w:rStyle w:val="Hyperlink"/>
            <w:sz w:val="19"/>
            <w:szCs w:val="19"/>
          </w:rPr>
          <w:t xml:space="preserve">BlackLine — account reconciliation platform</w:t>
        </w:r>
      </w:hyperlink>
    </w:p>
    <w:p>
      <w:pPr>
        <w:pStyle w:val="ListParagraph"/>
        <w:numPr>
          <w:ilvl w:val="0"/>
          <w:numId w:val="3"/>
        </w:numPr>
        <w:spacing w:after="60" w:line="260"/>
      </w:pPr>
      <w:hyperlink w:history="1" r:id="rIduhle9xkcyyknvntpiazga">
        <w:r>
          <w:rPr>
            <w:rStyle w:val="Hyperlink"/>
            <w:sz w:val="19"/>
            <w:szCs w:val="19"/>
          </w:rPr>
          <w:t xml:space="preserve">Trintech — record-to-report automation</w:t>
        </w:r>
      </w:hyperlink>
    </w:p>
    <w:p>
      <w:pPr>
        <w:pStyle w:val="ListParagraph"/>
        <w:numPr>
          <w:ilvl w:val="0"/>
          <w:numId w:val="3"/>
        </w:numPr>
        <w:spacing w:after="60" w:line="260"/>
      </w:pPr>
      <w:hyperlink w:history="1" r:id="rIdqsetmm4zoz5eoadmagm3y">
        <w:r>
          <w:rPr>
            <w:rStyle w:val="Hyperlink"/>
            <w:sz w:val="19"/>
            <w:szCs w:val="19"/>
          </w:rPr>
          <w:t xml:space="preserve">HighRadius — AI-powered finance automation</w:t>
        </w:r>
      </w:hyperlink>
    </w:p>
    <w:p>
      <w:pPr>
        <w:pStyle w:val="ListParagraph"/>
        <w:numPr>
          <w:ilvl w:val="0"/>
          <w:numId w:val="3"/>
        </w:numPr>
        <w:spacing w:after="60" w:line="260"/>
      </w:pPr>
      <w:hyperlink w:history="1" r:id="rId-xmle_awjpzsqaoyx-shh">
        <w:r>
          <w:rPr>
            <w:rStyle w:val="Hyperlink"/>
            <w:sz w:val="19"/>
            <w:szCs w:val="19"/>
          </w:rPr>
          <w:t xml:space="preserve">Zoho Books — bank reconciliation</w:t>
        </w:r>
      </w:hyperlink>
    </w:p>
    <w:p>
      <w:pPr>
        <w:pStyle w:val="ListParagraph"/>
        <w:numPr>
          <w:ilvl w:val="0"/>
          <w:numId w:val="3"/>
        </w:numPr>
        <w:spacing w:after="60" w:line="260"/>
      </w:pPr>
      <w:hyperlink w:history="1" r:id="rIdyx6dsepl2sajafowdm_vc">
        <w:r>
          <w:rPr>
            <w:rStyle w:val="Hyperlink"/>
            <w:sz w:val="19"/>
            <w:szCs w:val="19"/>
          </w:rPr>
          <w:t xml:space="preserve">ClearTax — GST reconciliation</w:t>
        </w:r>
      </w:hyperlink>
    </w:p>
    <w:p>
      <w:pPr>
        <w:pStyle w:val="ListParagraph"/>
        <w:numPr>
          <w:ilvl w:val="0"/>
          <w:numId w:val="3"/>
        </w:numPr>
        <w:spacing w:after="60" w:line="260"/>
      </w:pPr>
      <w:hyperlink w:history="1" r:id="rIdvx9ibzz98zqenax3frunt">
        <w:r>
          <w:rPr>
            <w:rStyle w:val="Hyperlink"/>
            <w:sz w:val="19"/>
            <w:szCs w:val="19"/>
          </w:rPr>
          <w:t xml:space="preserve">arXiv 2502.15865 — risk-auditing LLM financial agents</w:t>
        </w:r>
      </w:hyperlink>
    </w:p>
    <w:p>
      <w:r>
        <w:br w:type="page"/>
      </w:r>
    </w:p>
    <w:p>
      <w:pPr>
        <w:pStyle w:val="Heading1"/>
      </w:pPr>
      <w:r>
        <w:t xml:space="preserve">5. Track 5 — Open Track</w:t>
      </w:r>
    </w:p>
    <w:p>
      <w:pPr>
        <w:spacing w:after="160" w:line="300"/>
      </w:pPr>
      <w:r>
        <w:t xml:space="preserve">No dedicated research was run here since the track has no fixed problem to benchmark against — but the same discipline applies. Every gap named above is a legitimate Open Track seed if a scoped track doesn't fit: the India-agent-trust layer, the SMB-accessible explainable fraud copilot, the cross-channel recovery orchestrator, and the marketplace-reconciliation copilot are all, individually, defensible Open Track submissions if reframed without a track's specific rubric. The risk noted in the original track review still holds: Open Track gets no pre-built checklist to build against, so treat it as a real option only if a specific idea is already pulling at you, not as a catch-all.</w:t>
      </w:r>
    </w:p>
    <w:p>
      <w:r>
        <w:br w:type="page"/>
      </w:r>
    </w:p>
    <w:p>
      <w:pPr>
        <w:pStyle w:val="Heading1"/>
      </w:pPr>
      <w:r>
        <w:t xml:space="preserve">6. Cross-cutting patterns worth building into whichever track you pick</w:t>
      </w:r>
    </w:p>
    <w:p>
      <w:pPr>
        <w:pStyle w:val="ListParagraph"/>
        <w:numPr>
          <w:ilvl w:val="0"/>
          <w:numId w:val="2"/>
        </w:numPr>
        <w:spacing w:after="100" w:line="280"/>
      </w:pPr>
      <w:r>
        <w:t xml:space="preserve">Target a gap the panel can verify themselves. The strongest concepts here (Tracks 3 and 4) point at something documented in Razorpay's own product pages, not just “the market lacks X” — that's independently checkable and reads as sharper product judgment.</w:t>
      </w:r>
    </w:p>
    <w:p>
      <w:pPr>
        <w:pStyle w:val="ListParagraph"/>
        <w:numPr>
          <w:ilvl w:val="0"/>
          <w:numId w:val="2"/>
        </w:numPr>
        <w:spacing w:after="100" w:line="280"/>
      </w:pPr>
      <w:r>
        <w:t xml:space="preserve">Make the refusal or the exception the demo's best 60 seconds, not an afterthought. Every track's research turned up the same pattern: incumbents show the happy path and skip graceful failure — showing it well is rare enough to be memorable on its own.</w:t>
      </w:r>
    </w:p>
    <w:p>
      <w:pPr>
        <w:pStyle w:val="ListParagraph"/>
        <w:numPr>
          <w:ilvl w:val="0"/>
          <w:numId w:val="2"/>
        </w:numPr>
        <w:spacing w:after="100" w:line="280"/>
      </w:pPr>
      <w:r>
        <w:t xml:space="preserve">Report cost-weighted, not just accuracy-weighted, metrics. Whether it's false-positive cost (Track 2), cost-of-intervention vs. recovery odds (Track 3), or honest exception counts (Track 4), every track's incumbents under-report the economics of being wrong — doing that well is a cheap, high-signal differentiator.</w:t>
      </w:r>
    </w:p>
    <w:p>
      <w:pPr>
        <w:pStyle w:val="ListParagraph"/>
        <w:numPr>
          <w:ilvl w:val="0"/>
          <w:numId w:val="2"/>
        </w:numPr>
        <w:spacing w:after="100" w:line="280"/>
      </w:pPr>
      <w:r>
        <w:t xml:space="preserve">Bake compliance/guardrails into the action space, not into a settings page. Encoding RBI/TRAI rules (or spend caps, in Track 1) as constraints the agent literally cannot violate reads as materially more mature than “there's a config option for that.”</w:t>
      </w:r>
    </w:p>
    <w:p>
      <w:pPr>
        <w:spacing w:before="300"/>
      </w:pPr>
    </w:p>
    <w:p>
      <w:pPr>
        <w:spacing w:after="160" w:line="280"/>
      </w:pPr>
      <w:r>
        <w:rPr>
          <w:i/>
          <w:iCs/>
          <w:color w:val="555555"/>
        </w:rPr>
        <w:t xml:space="preserve">This report and its companion track-review doc are saved to the Razorpay project so they're available across future sessions on this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ntopqrffhkpscajifvhb" Type="http://schemas.openxmlformats.org/officeDocument/2006/relationships/hyperlink" Target="https://cloud.google.com/blog/products/ai-machine-learning/announcing-agents-to-payments-ap2-protocol" TargetMode="External"/><Relationship Id="rIdhntf-khizmmbb1n8zujxa" Type="http://schemas.openxmlformats.org/officeDocument/2006/relationships/hyperlink" Target="https://stripe.com/blog/developing-an-open-standard-for-agentic-commerce" TargetMode="External"/><Relationship Id="rIdsp7cemyjmyivzp8rbrxa6" Type="http://schemas.openxmlformats.org/officeDocument/2006/relationships/hyperlink" Target="https://developer.visa.com/capabilities/trusted-agent-protocol/overview" TargetMode="External"/><Relationship Id="rIdapzqk9udfrjciw29rxtf6" Type="http://schemas.openxmlformats.org/officeDocument/2006/relationships/hyperlink" Target="https://newsroom.razorpay.in/newsroom/razorpay-becomes-indias-first-payment-gateway-to-launch-mcp-server-for-instant-ai-payment-integration/" TargetMode="External"/><Relationship Id="rIdfyuh6h5gdga3kbuk9o9y6" Type="http://schemas.openxmlformats.org/officeDocument/2006/relationships/hyperlink" Target="https://razorpay.com/blog/agentic-payments-and-npci/" TargetMode="External"/><Relationship Id="rIdj0ivarrag2jshz65c2eog" Type="http://schemas.openxmlformats.org/officeDocument/2006/relationships/hyperlink" Target="https://www.medianama.com/2026/07/223-npci-agentic-payments-upi/" TargetMode="External"/><Relationship Id="rIdhb5wvfy0yvdvfpnl1ydn9" Type="http://schemas.openxmlformats.org/officeDocument/2006/relationships/hyperlink" Target="https://www.medianama.com/2026/02/223-agentic-commerce-india-ai-impact-summit/" TargetMode="External"/><Relationship Id="rIdxhvhxuhrl4t4gdpmox6gb" Type="http://schemas.openxmlformats.org/officeDocument/2006/relationships/hyperlink" Target="https://thefinancialbrand.com/news/payments-trends/when-ai-agents-make-incorrect-purchases-whos-responsible-197147" TargetMode="External"/><Relationship Id="rId90lbl6a0prgkk144xjqmx" Type="http://schemas.openxmlformats.org/officeDocument/2006/relationships/hyperlink" Target="https://engineering.razorpay.com/" TargetMode="External"/><Relationship Id="rIdmrja8vrkqe79zyphiuw6n" Type="http://schemas.openxmlformats.org/officeDocument/2006/relationships/hyperlink" Target="https://www.business-standard.com/" TargetMode="External"/><Relationship Id="rIdyoigwezym0ebecqc4d2jp" Type="http://schemas.openxmlformats.org/officeDocument/2006/relationships/hyperlink" Target="https://stripe.com/radar" TargetMode="External"/><Relationship Id="rIdyerxtrv5y56v0ukgr9et1" Type="http://schemas.openxmlformats.org/officeDocument/2006/relationships/hyperlink" Target="https://www.signifyd.com/pricing/" TargetMode="External"/><Relationship Id="rIdi6cra8gyn4wrsiu5_1a98" Type="http://schemas.openxmlformats.org/officeDocument/2006/relationships/hyperlink" Target="https://justt.ai/" TargetMode="External"/><Relationship Id="rId072nef9fg-cz5zhqljo_f" Type="http://schemas.openxmlformats.org/officeDocument/2006/relationships/hyperlink" Target="https://www.ibm.com/" TargetMode="External"/><Relationship Id="rIdpnupvszbul7lyaile9hrs" Type="http://schemas.openxmlformats.org/officeDocument/2006/relationships/hyperlink" Target="https://www.medianama.com/" TargetMode="External"/><Relationship Id="rIdxrtzuoqvlcudfvoundgbt" Type="http://schemas.openxmlformats.org/officeDocument/2006/relationships/hyperlink" Target="https://www.experian.com/" TargetMode="External"/><Relationship Id="rIdpper2gy5rmzzu72wqmhau" Type="http://schemas.openxmlformats.org/officeDocument/2006/relationships/hyperlink" Target="https://razorpay.com/blog/boost-payments-success-rates-with-optimizers-ai-ml-routing/" TargetMode="External"/><Relationship Id="rIdj2fucpzytirwvsx8igniq" Type="http://schemas.openxmlformats.org/officeDocument/2006/relationships/hyperlink" Target="https://razorpay.com/blog/razorpay-failed-payment-recovery/" TargetMode="External"/><Relationship Id="rIdepuh3o0mdhupl0zkscchr" Type="http://schemas.openxmlformats.org/officeDocument/2006/relationships/hyperlink" Target="https://razorpay.com/docs/subscriptions/payment-retries/" TargetMode="External"/><Relationship Id="rIdfmodxsg0gl5v1_yzm240c" Type="http://schemas.openxmlformats.org/officeDocument/2006/relationships/hyperlink" Target="https://stripe.com/blog/how-we-built-it-smart-retries" TargetMode="External"/><Relationship Id="rIdzx9zm2twk296viiliczmp" Type="http://schemas.openxmlformats.org/officeDocument/2006/relationships/hyperlink" Target="https://www.chargebee.com/payments/retries-and-dunning/" TargetMode="External"/><Relationship Id="rIdxfihrmwk7xyreeg4jm_fv" Type="http://schemas.openxmlformats.org/officeDocument/2006/relationships/hyperlink" Target="https://www.paddle.com/help/profitwell-metrics/retain/how-it-works/retain-payment-recovery-how-it-works-retry-cadence" TargetMode="External"/><Relationship Id="rIdu0yy8h9eclnl-erb-1gun" Type="http://schemas.openxmlformats.org/officeDocument/2006/relationships/hyperlink" Target="https://www.credgenics.com/" TargetMode="External"/><Relationship Id="rIdgvrgljaanmotks_j5c5pq" Type="http://schemas.openxmlformats.org/officeDocument/2006/relationships/hyperlink" Target="https://www.squadstack.ai/voicebot/ai-voicebot-for-debt-collection" TargetMode="External"/><Relationship Id="rId6lcvhefbniyktw0abjymv" Type="http://schemas.openxmlformats.org/officeDocument/2006/relationships/hyperlink" Target="https://www.messagecentral.com/sms-guideline/india" TargetMode="External"/><Relationship Id="rIdfl0mglvkp1l7wiqptsqdd" Type="http://schemas.openxmlformats.org/officeDocument/2006/relationships/hyperlink" Target="https://www.bajajfinserv.in/rbi-guidelines-for-recovery-agents" TargetMode="External"/><Relationship Id="rIdk5y-ltxijxvlw0u8tqxw0" Type="http://schemas.openxmlformats.org/officeDocument/2006/relationships/hyperlink" Target="https://indiacorplaw.in/2025/07/19/rbis-revised-digital-lending-guidelines-strengthening-guardrails-in-an-evolving-ecosystem/" TargetMode="External"/><Relationship Id="rIdfrhbzeowwfliuwenz2ju9" Type="http://schemas.openxmlformats.org/officeDocument/2006/relationships/hyperlink" Target="https://razorpay.com/docs/route/" TargetMode="External"/><Relationship Id="rIditedpjlkigbswrjtmqtbo" Type="http://schemas.openxmlformats.org/officeDocument/2006/relationships/hyperlink" Target="https://www.blackline.com/" TargetMode="External"/><Relationship Id="rIduhle9xkcyyknvntpiazga" Type="http://schemas.openxmlformats.org/officeDocument/2006/relationships/hyperlink" Target="https://www.trintech.com/" TargetMode="External"/><Relationship Id="rIdqsetmm4zoz5eoadmagm3y" Type="http://schemas.openxmlformats.org/officeDocument/2006/relationships/hyperlink" Target="https://www.highradius.com/" TargetMode="External"/><Relationship Id="rId-xmle_awjpzsqaoyx-shh" Type="http://schemas.openxmlformats.org/officeDocument/2006/relationships/hyperlink" Target="https://www.zoho.com/books/" TargetMode="External"/><Relationship Id="rIdyx6dsepl2sajafowdm_vc" Type="http://schemas.openxmlformats.org/officeDocument/2006/relationships/hyperlink" Target="https://cleartax.in/" TargetMode="External"/><Relationship Id="rIdvx9ibzz98zqenax3frunt" Type="http://schemas.openxmlformats.org/officeDocument/2006/relationships/hyperlink" Target="https://arxiv.org/abs/2502.15865"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2026-08-21T10:12:43.739Z</dcterms:created>
  <dcterms:modified xsi:type="dcterms:W3CDTF">2026-08-21T10:12:43.754Z</dcterms:modified>
</cp:coreProperties>
</file>

<file path=docProps/custom.xml><?xml version="1.0" encoding="utf-8"?>
<Properties xmlns="http://schemas.openxmlformats.org/officeDocument/2006/custom-properties" xmlns:vt="http://schemas.openxmlformats.org/officeDocument/2006/docPropsVTypes"/>
</file>