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Razorpay AI Buildathon</w:t>
      </w:r>
    </w:p>
    <w:p>
      <w:pPr>
        <w:spacing w:after="200"/>
      </w:pPr>
      <w:r>
        <w:rPr>
          <w:b/>
          <w:bCs/>
          <w:color w:val="2E5AAC"/>
          <w:sz w:val="26"/>
          <w:szCs w:val="26"/>
        </w:rPr>
        <w:t xml:space="preserve">Problem Statement Review &amp; Track Recommendation</w:t>
      </w:r>
    </w:p>
    <w:p>
      <w:pPr>
        <w:spacing w:after="60"/>
      </w:pPr>
      <w:r>
        <w:rPr>
          <w:i/>
          <w:iCs/>
          <w:color w:val="555555"/>
          <w:sz w:val="20"/>
          <w:szCs w:val="20"/>
        </w:rPr>
        <w:t xml:space="preserve">Prepared for: Owais  |  Solo builder, ~2 week build window, balanced skillset (agentic/LLM, ML, and full-stack)</w:t>
      </w:r>
    </w:p>
    <w:p>
      <w:pPr>
        <w:spacing w:after="320"/>
      </w:pPr>
      <w:r>
        <w:rPr>
          <w:i/>
          <w:iCs/>
          <w:color w:val="555555"/>
          <w:sz w:val="20"/>
          <w:szCs w:val="20"/>
        </w:rPr>
        <w:t xml:space="preserve">Source: </w:t>
      </w:r>
      <w:hyperlink w:history="1" r:id="rIdeyr_raxngq8fqlohueoiy">
        <w:r>
          <w:rPr>
            <w:rStyle w:val="Hyperlink"/>
            <w:sz w:val="20"/>
            <w:szCs w:val="20"/>
          </w:rPr>
          <w:t xml:space="preserve">razorpay.com/buildathon</w:t>
        </w:r>
      </w:hyperlink>
    </w:p>
    <w:p>
      <w:pPr>
        <w:pBdr>
          <w:bottom w:val="single" w:color="AAAAAA" w:sz="6" w:space="1"/>
        </w:pBdr>
        <w:spacing w:after="240"/>
      </w:pPr>
    </w:p>
    <w:p>
      <w:pPr>
        <w:pStyle w:val="Heading1"/>
      </w:pPr>
      <w:r>
        <w:t xml:space="preserve">0. What this actually is (read this before picking a track)</w:t>
      </w:r>
    </w:p>
    <w:p>
      <w:pPr>
        <w:spacing w:after="160" w:line="300"/>
      </w:pPr>
      <w:r>
        <w:t xml:space="preserve">This isn’t a weekend hackathon with a prize pool. It’s a build-based selection filter for a paid AI Builder Internship — ₹75,000/month, 6 or 12 months, in-person in Bangalore starting September. There’s no resume screen, no aptitude test, no group discussion. Selection is 100% based on:</w:t>
      </w:r>
    </w:p>
    <w:p>
      <w:pPr>
        <w:pStyle w:val="ListParagraph"/>
        <w:numPr>
          <w:ilvl w:val="0"/>
          <w:numId w:val="2"/>
        </w:numPr>
        <w:spacing w:after="100" w:line="280"/>
      </w:pPr>
      <w:r>
        <w:t xml:space="preserve">A track pick</w:t>
      </w:r>
    </w:p>
    <w:p>
      <w:pPr>
        <w:pStyle w:val="ListParagraph"/>
        <w:numPr>
          <w:ilvl w:val="0"/>
          <w:numId w:val="2"/>
        </w:numPr>
        <w:spacing w:after="100" w:line="280"/>
      </w:pPr>
      <w:r>
        <w:t xml:space="preserve">A public repo with working code</w:t>
      </w:r>
    </w:p>
    <w:p>
      <w:pPr>
        <w:pStyle w:val="ListParagraph"/>
        <w:numPr>
          <w:ilvl w:val="0"/>
          <w:numId w:val="2"/>
        </w:numPr>
        <w:spacing w:after="100" w:line="280"/>
      </w:pPr>
      <w:r>
        <w:t xml:space="preserve">A 5-minute pitch video</w:t>
      </w:r>
    </w:p>
    <w:p>
      <w:pPr>
        <w:pStyle w:val="ListParagraph"/>
        <w:numPr>
          <w:ilvl w:val="0"/>
          <w:numId w:val="2"/>
        </w:numPr>
        <w:spacing w:after="100" w:line="280"/>
      </w:pPr>
      <w:r>
        <w:t xml:space="preserve">Architecture documentation</w:t>
      </w:r>
    </w:p>
    <w:p>
      <w:pPr>
        <w:spacing w:after="160" w:line="300"/>
      </w:pPr>
      <w:r>
        <w:t xml:space="preserve">That changes what “winning” means. You’re not optimizing for stage-demo wow factor in front of a live crowd — you’re optimizing for a panel of Razorpay engineers/PMs reading your repo and watching a 5-minute video async, deciding “would I want this person building in our org for 6–12 months.” That rewards different things than a typical hackathon:</w:t>
      </w:r>
    </w:p>
    <w:p>
      <w:pPr>
        <w:spacing w:after="160" w:line="300"/>
      </w:pPr>
      <w:r>
        <w:rPr>
          <w:b/>
          <w:bCs/>
        </w:rPr>
        <w:t xml:space="preserve">Working code over slides.</w:t>
      </w:r>
      <w:r>
        <w:t xml:space="preserve"> A public repo means they will read it. Sloppy code, no tests, hardcoded demo values, or a README that oversells what actually runs will be caught and will hurt you more than at a typical hackathon.</w:t>
      </w:r>
    </w:p>
    <w:p>
      <w:pPr>
        <w:spacing w:after="160" w:line="300"/>
      </w:pPr>
      <w:r>
        <w:rPr>
          <w:b/>
          <w:bCs/>
        </w:rPr>
        <w:t xml:space="preserve">Honesty over hype.</w:t>
      </w:r>
      <w:r>
        <w:t xml:space="preserve"> Every track description independently uses phrasing like “honest metrics,” “one cherry-picked match proves nothing,” “show a real problem.” This is a deliberate, repeated signal: they are explicitly filtering out people who fake a demo. Show your failure cases. Show your held-out numbers, not your best run.</w:t>
      </w:r>
    </w:p>
    <w:p>
      <w:pPr>
        <w:spacing w:after="160" w:line="300"/>
      </w:pPr>
      <w:r>
        <w:rPr>
          <w:b/>
          <w:bCs/>
        </w:rPr>
        <w:t xml:space="preserve">Governance-mindedness.</w:t>
      </w:r>
      <w:r>
        <w:t xml:space="preserve"> Every track — even the open one — asks for bounded/gated actions, audit trails, or stopping rules. Razorpay moves real money; they’re screening for engineers who instinctively add guardrails to agentic systems, not just people who can get an agent to do something impressive once.</w:t>
      </w:r>
    </w:p>
    <w:p>
      <w:pPr>
        <w:spacing w:after="160" w:line="300"/>
      </w:pPr>
      <w:r>
        <w:rPr>
          <w:b/>
          <w:bCs/>
        </w:rPr>
        <w:t xml:space="preserve">A tight 5-minute video is a real constraint.</w:t>
      </w:r>
      <w:r>
        <w:t xml:space="preserve"> You need one clean end-to-end scenario, not a feature tour. Scope your build so that one scenario is bulletproof, rather than building five shallow features.</w:t>
      </w:r>
    </w:p>
    <w:p>
      <w:pPr>
        <w:spacing w:after="160" w:line="300"/>
      </w:pPr>
      <w:r>
        <w:t xml:space="preserve">The meta-strategy that applies no matter which track you pick:</w:t>
      </w:r>
    </w:p>
    <w:p>
      <w:pPr>
        <w:pStyle w:val="ListParagraph"/>
        <w:numPr>
          <w:ilvl w:val="0"/>
          <w:numId w:val="2"/>
        </w:numPr>
        <w:spacing w:after="100" w:line="280"/>
      </w:pPr>
      <w:r>
        <w:t xml:space="preserve">Narrow scope, fully working, hitting real Razorpay test-mode APIs (not mocked) wherever the track allows it.</w:t>
      </w:r>
    </w:p>
    <w:p>
      <w:pPr>
        <w:pStyle w:val="ListParagraph"/>
        <w:numPr>
          <w:ilvl w:val="0"/>
          <w:numId w:val="2"/>
        </w:numPr>
        <w:spacing w:after="100" w:line="280"/>
      </w:pPr>
      <w:r>
        <w:t xml:space="preserve">Quantitative evaluation on a held-out batch, reported honestly — including the cases where it fails.</w:t>
      </w:r>
    </w:p>
    <w:p>
      <w:pPr>
        <w:pStyle w:val="ListParagraph"/>
        <w:numPr>
          <w:ilvl w:val="0"/>
          <w:numId w:val="2"/>
        </w:numPr>
        <w:spacing w:after="100" w:line="280"/>
      </w:pPr>
      <w:r>
        <w:t xml:space="preserve">Visible audit trail / logging of every agent action.</w:t>
      </w:r>
    </w:p>
    <w:p>
      <w:pPr>
        <w:pStyle w:val="ListParagraph"/>
        <w:numPr>
          <w:ilvl w:val="0"/>
          <w:numId w:val="2"/>
        </w:numPr>
        <w:spacing w:after="100" w:line="280"/>
      </w:pPr>
      <w:r>
        <w:t xml:space="preserve">Explicit guardrails: bounded actions, escalation rules, stopping conditions, human-in-the-loop where money moves.</w:t>
      </w:r>
    </w:p>
    <w:p>
      <w:pPr>
        <w:pStyle w:val="ListParagraph"/>
        <w:numPr>
          <w:ilvl w:val="0"/>
          <w:numId w:val="2"/>
        </w:numPr>
        <w:spacing w:after="100" w:line="280"/>
      </w:pPr>
      <w:r>
        <w:t xml:space="preserve">A 5-minute video that walks one real scenario start to finish, including a handled failure — not a highlight reel.</w:t>
      </w:r>
    </w:p>
    <w:p>
      <w:r>
        <w:br w:type="page"/>
      </w:r>
    </w:p>
    <w:p>
      <w:pPr>
        <w:pStyle w:val="Heading1"/>
      </w:pPr>
      <w:r>
        <w:t xml:space="preserve">1. Track-by-track breakdown</w:t>
      </w:r>
    </w:p>
    <w:p>
      <w:pPr>
        <w:pStyle w:val="Heading2"/>
      </w:pPr>
      <w:r>
        <w:t xml:space="preserve">Track 1 — AI Growth &amp; Agentic Commerce</w:t>
      </w:r>
    </w:p>
    <w:p>
      <w:pPr>
        <w:spacing w:after="160" w:line="300"/>
      </w:pPr>
      <w:r>
        <w:rPr>
          <w:b/>
          <w:bCs/>
        </w:rPr>
        <w:t xml:space="preserve">The problem they’re describing:</w:t>
      </w:r>
      <w:r>
        <w:t xml:space="preserve"> Two things are bundled into one track. First, ordinary revenue growth for a merchant (upsell, cross-sell, campaign orchestration). Second — and this is the more interesting one — making a merchant “transactable by an AI buyer end-to-end.” This is about agentic commerce: the emerging world where shopping agents (ChatGPT, Perplexity, Gemini, or a custom agent) browse, decide, and pay on a human’s behalf. Google’s AP2, Visa’s Trusted Agent Protocol, and Mastercard’s Agent Pay are all live attempts at this same problem industry-wide right now. Razorpay is clearly signaling they want builders thinking about this.</w:t>
      </w:r>
    </w:p>
    <w:p>
      <w:pPr>
        <w:spacing w:after="160" w:line="300"/>
      </w:pPr>
      <w:r>
        <w:rPr>
          <w:b/>
          <w:bCs/>
        </w:rPr>
        <w:t xml:space="preserve">What they’re asking you to build:</w:t>
      </w:r>
      <w:r>
        <w:t xml:space="preserve"> An agent that does one of: conversational checkout, an agent-readable product catalog, upsell/cross-sell, or campaign orchestration.</w:t>
      </w:r>
    </w:p>
    <w:p>
      <w:pPr>
        <w:spacing w:after="160" w:line="300"/>
      </w:pPr>
      <w:r>
        <w:rPr>
          <w:b/>
          <w:bCs/>
        </w:rPr>
        <w:t xml:space="preserve">The explicit bar:</w:t>
      </w:r>
      <w:r>
        <w:t xml:space="preserve"> “Every money action explainable, bounded and gated. Show the audit trail and one failure handled gracefully.”</w:t>
      </w:r>
    </w:p>
    <w:p>
      <w:pPr>
        <w:spacing w:after="160" w:line="300"/>
      </w:pPr>
      <w:r>
        <w:rPr>
          <w:b/>
          <w:bCs/>
        </w:rPr>
        <w:t xml:space="preserve">Read between the lines:</w:t>
      </w:r>
      <w:r>
        <w:t xml:space="preserve"> They don’t want a chatbot that “sounds like” it can buy things. They want to see the actual money-moving action (a Razorpay Order/Payment Link created and paid in test mode) triggered by an agent, with logs proving the agent didn’t do anything it wasn’t authorized to do, and one example of it refusing or safely failing — e.g., ambiguous intent, price mismatch, insufficient authorization — handled without a crash or a hallucinated success message.</w:t>
      </w:r>
    </w:p>
    <w:p>
      <w:pPr>
        <w:spacing w:after="160" w:line="300"/>
      </w:pPr>
      <w:r>
        <w:rPr>
          <w:b/>
          <w:bCs/>
        </w:rPr>
        <w:t xml:space="preserve">Solo/2-week scoped build idea:</w:t>
      </w:r>
      <w:r>
        <w:t xml:space="preserve"> Build a small merchant catalog (5-10 SKUs) exposed as tool-callable functions (or an MCP server) — search_products, get_price, create_order, confirm_payment. Wire an LLM agent (playing “AI shopping assistant”) that a user chats with naturally (“I need running shoes under ₹3000”), which negotiates/selects, then calls Razorpay test-mode Orders/Payment Links API to complete checkout. Add a policy layer: spend cap, single-item confirmation step before payment, and a rejection path (e.g., agent refuses an out-of-catalog or over-budget request). Log every tool call to a visible audit panel.</w:t>
      </w:r>
    </w:p>
    <w:p>
      <w:pPr>
        <w:spacing w:after="160" w:line="300"/>
      </w:pPr>
      <w:r>
        <w:rPr>
          <w:b/>
          <w:bCs/>
        </w:rPr>
        <w:t xml:space="preserve">Feasibility:</w:t>
      </w:r>
      <w:r>
        <w:t xml:space="preserve"> High for a solo builder — Razorpay’s test-mode Orders/Payment Links APIs are well-documented and simple REST calls; the hard part is agent orchestration and guardrails, which is scoped, learnable work, not research.</w:t>
      </w:r>
    </w:p>
    <w:p>
      <w:pPr>
        <w:spacing w:after="160" w:line="300"/>
      </w:pPr>
      <w:r>
        <w:rPr>
          <w:b/>
          <w:bCs/>
        </w:rPr>
        <w:t xml:space="preserve">Differentiation ceiling:</w:t>
      </w:r>
      <w:r>
        <w:t xml:space="preserve"> Very high. This is the most strategically “now” track — it mirrors what Razorpay itself is almost certainly building toward internally, so a good build here has outsized signal value for an internship pitch. Fewer teams will have built genuine two-sided agentic-commerce flows compared to fraud classifiers, so the field is less crowded.</w:t>
      </w:r>
    </w:p>
    <w:p>
      <w:pPr>
        <w:spacing w:after="160" w:line="300"/>
      </w:pPr>
      <w:r>
        <w:rPr>
          <w:b/>
          <w:bCs/>
        </w:rPr>
        <w:t xml:space="preserve">Risk:</w:t>
      </w:r>
      <w:r>
        <w:t xml:space="preserve"> Scope creep. “Conversational checkout” and “agent-readable catalog” are vague enough that you can over-build. Pick exactly one buyer-journey and make it airtight rather than building a general-purpose commerce agent.</w:t>
      </w:r>
    </w:p>
    <w:p>
      <w:pPr>
        <w:pStyle w:val="Heading2"/>
      </w:pPr>
      <w:r>
        <w:t xml:space="preserve">Track 2 — AI Risk Manager</w:t>
      </w:r>
    </w:p>
    <w:p>
      <w:pPr>
        <w:spacing w:after="160" w:line="300"/>
      </w:pPr>
      <w:r>
        <w:rPr>
          <w:b/>
          <w:bCs/>
        </w:rPr>
        <w:t xml:space="preserve">The problem they’re describing:</w:t>
      </w:r>
      <w:r>
        <w:t xml:space="preserve"> Fraud, returns, and chargebacks are a direct P&amp;L hit for merchants and for Razorpay, and fraud tooling itself is now being industrialized by attackers using AI, specifically targeting Indian BFSI.</w:t>
      </w:r>
    </w:p>
    <w:p>
      <w:pPr>
        <w:spacing w:after="160" w:line="300"/>
      </w:pPr>
      <w:r>
        <w:rPr>
          <w:b/>
          <w:bCs/>
        </w:rPr>
        <w:t xml:space="preserve">What they’re asking you to build:</w:t>
      </w:r>
      <w:r>
        <w:t xml:space="preserve"> A detector, verifier, or auto-responder for one loss class — chargeback response, return-risk scoring, transaction fraud, or abuse detection.</w:t>
      </w:r>
    </w:p>
    <w:p>
      <w:pPr>
        <w:spacing w:after="160" w:line="300"/>
      </w:pPr>
      <w:r>
        <w:rPr>
          <w:b/>
          <w:bCs/>
        </w:rPr>
        <w:t xml:space="preserve">The explicit bar:</w:t>
      </w:r>
      <w:r>
        <w:t xml:space="preserve"> “Honest metrics including false-positive cost. Strictly defense-only: anything offense-capable is disqualified.”</w:t>
      </w:r>
    </w:p>
    <w:p>
      <w:pPr>
        <w:spacing w:after="160" w:line="300"/>
      </w:pPr>
      <w:r>
        <w:rPr>
          <w:b/>
          <w:bCs/>
        </w:rPr>
        <w:t xml:space="preserve">Read between the lines:</w:t>
      </w:r>
      <w:r>
        <w:t xml:space="preserve"> This is the most rubric-driven track — they want a real precision/recall table on a held-out split, not a demo where you show three true positives. The “false-positive cost” phrase is a strong hint: they want you to reason about the asymmetry (blocking a legitimate ₹50,000 transaction is worse than missing a ₹500 fraud), not just optimize F1. “Defense-only, offense-capable is disqualified” is a hard rule — don’t build anything that could double as a fraud-generation or bypass tool, even as a side effect.</w:t>
      </w:r>
    </w:p>
    <w:p>
      <w:pPr>
        <w:spacing w:after="160" w:line="300"/>
      </w:pPr>
      <w:r>
        <w:rPr>
          <w:b/>
          <w:bCs/>
        </w:rPr>
        <w:t xml:space="preserve">Solo/2-week scoped build idea:</w:t>
      </w:r>
      <w:r>
        <w:t xml:space="preserve"> Pick chargeback auto-responder over plain fraud classification — it’s less commoditized and more “agentic” than a bare classifier. Build an agent that ingests a disputed-transaction record + evidence (shipping proof, communication logs — synthesize these), classifies dispute-win-likelihood, and drafts a structured chargeback representment response citing specific evidence fields. Evaluate on a held-out synthetic batch: measured win-likelihood accuracy, and honestly flag the cases it can’t confidently handle (routes to human).</w:t>
      </w:r>
    </w:p>
    <w:p>
      <w:pPr>
        <w:spacing w:after="160" w:line="300"/>
      </w:pPr>
      <w:r>
        <w:rPr>
          <w:b/>
          <w:bCs/>
        </w:rPr>
        <w:t xml:space="preserve">Feasibility:</w:t>
      </w:r>
      <w:r>
        <w:t xml:space="preserve"> Very high. This is the most technically tractable track for a solo builder — public fraud datasets (IEEE-CIS, credit card fraud datasets on Kaggle) or synthetic data generation get you a labeled set fast, and the eval methodology (train/test split, precision/recall, ROC) is standard.</w:t>
      </w:r>
    </w:p>
    <w:p>
      <w:pPr>
        <w:spacing w:after="160" w:line="300"/>
      </w:pPr>
      <w:r>
        <w:rPr>
          <w:b/>
          <w:bCs/>
        </w:rPr>
        <w:t xml:space="preserve">Differentiation ceiling:</w:t>
      </w:r>
      <w:r>
        <w:t xml:space="preserve"> Moderate-to-low if you build “just a classifier” — this is the track every ML-leaning team will gravitate to, so a plain XGBoost-on-Kaggle-fraud-data submission will blend in. To stand out, lean into the agentic auto-responder angle (drafting responses, routing exceptions, explaining decisions) rather than a bare model, and be unusually rigorous about the false-positive-cost analysis — most entrants will skip that nuance.</w:t>
      </w:r>
    </w:p>
    <w:p>
      <w:pPr>
        <w:spacing w:after="160" w:line="300"/>
      </w:pPr>
      <w:r>
        <w:rPr>
          <w:b/>
          <w:bCs/>
        </w:rPr>
        <w:t xml:space="preserve">Risk:</w:t>
      </w:r>
      <w:r>
        <w:t xml:space="preserve"> Commodity trap. Also: watch the “defense-only” rule carefully — anything resembling a fraud simulator/generator, even for training data purposes, needs to be clearly synthetic and clearly labeled as such in your docs.</w:t>
      </w:r>
    </w:p>
    <w:p>
      <w:pPr>
        <w:pStyle w:val="Heading2"/>
      </w:pPr>
      <w:r>
        <w:t xml:space="preserve">Track 3 — AI Revenue Recovery</w:t>
      </w:r>
    </w:p>
    <w:p>
      <w:pPr>
        <w:spacing w:after="160" w:line="300"/>
      </w:pPr>
      <w:r>
        <w:rPr>
          <w:b/>
          <w:bCs/>
        </w:rPr>
        <w:t xml:space="preserve">The problem they’re describing:</w:t>
      </w:r>
      <w:r>
        <w:t xml:space="preserve"> Revenue leaks continuously and invisibly across the payment lifecycle — degraded payment success rates, abandoned checkouts, failed subscription renewals, overdue receivables — not as one clean failure but as many small leaks. This is literally Razorpay’s core product surface (Smart Router, Subscriptions, dunning, Payment Links) — they understand this problem better than any other track.</w:t>
      </w:r>
    </w:p>
    <w:p>
      <w:pPr>
        <w:spacing w:after="160" w:line="300"/>
      </w:pPr>
      <w:r>
        <w:rPr>
          <w:b/>
          <w:bCs/>
        </w:rPr>
        <w:t xml:space="preserve">What they’re asking you to build:</w:t>
      </w:r>
      <w:r>
        <w:t xml:space="preserve"> An agent that (1) detects revenue at risk, (2) decides an intervention, (3) executes a bounded recovery workflow. Suggested angles: checkout recovery, subscription-failure recovery, receivables collection, payment retries, voice-based recovery, or payment-commitment tracking.</w:t>
      </w:r>
    </w:p>
    <w:p>
      <w:pPr>
        <w:spacing w:after="160" w:line="300"/>
      </w:pPr>
      <w:r>
        <w:rPr>
          <w:b/>
          <w:bCs/>
        </w:rPr>
        <w:t xml:space="preserve">The explicit bar:</w:t>
      </w:r>
      <w:r>
        <w:t xml:space="preserve"> “Show measured money recovered across a batch, with compliant escalation, stopping rules, and an audit trail.”</w:t>
      </w:r>
    </w:p>
    <w:p>
      <w:pPr>
        <w:spacing w:after="160" w:line="300"/>
      </w:pPr>
      <w:r>
        <w:rPr>
          <w:b/>
          <w:bCs/>
        </w:rPr>
        <w:t xml:space="preserve">Read between the lines:</w:t>
      </w:r>
      <w:r>
        <w:t xml:space="preserve"> This wants a full closed loop, not just detection. “Compliant escalation” and “stopping rules” are a direct nod to India’s collections/DND regulatory reality (RBI guidelines, spam/harassment concerns around repeated recovery nudges) — showing you understand that a recovery agent that emails/calls someone 10 times a day is a liability, not a feature, will read as maturity to reviewers who deal with this in production. “Measured money recovered across a batch” means: run it against N simulated failed-payment scenarios and report a real ₹ recovered number, not a single success story.</w:t>
      </w:r>
    </w:p>
    <w:p>
      <w:pPr>
        <w:spacing w:after="160" w:line="300"/>
      </w:pPr>
      <w:r>
        <w:rPr>
          <w:b/>
          <w:bCs/>
        </w:rPr>
        <w:t xml:space="preserve">Solo/2-week scoped build idea:</w:t>
      </w:r>
      <w:r>
        <w:t xml:space="preserve"> Build a subscription/checkout-failure recovery agent: simulate a batch of failed payment events (declined card, expired card, insufficient funds, abandoned checkout) using Razorpay test-mode webhooks/data. The agent classifies the failure reason, picks an intervention (smart retry timing, payment-method-update nudge via a Payment Link, discount-triggered win-back for cart abandonment), executes it in test mode, and enforces a frequency cap + stop-after-N-attempts rule. Report: batch size, recovery rate, ₹ recovered, escalation/stop events, full audit log.</w:t>
      </w:r>
    </w:p>
    <w:p>
      <w:pPr>
        <w:spacing w:after="160" w:line="300"/>
      </w:pPr>
      <w:r>
        <w:rPr>
          <w:b/>
          <w:bCs/>
        </w:rPr>
        <w:t xml:space="preserve">Feasibility:</w:t>
      </w:r>
      <w:r>
        <w:t xml:space="preserve"> High. Razorpay’s docs cover failed-payment reasons and retry/webhook patterns directly, so you’re building on well-trodden rails; the “batch” framing is straightforward to simulate.</w:t>
      </w:r>
    </w:p>
    <w:p>
      <w:pPr>
        <w:spacing w:after="160" w:line="300"/>
      </w:pPr>
      <w:r>
        <w:rPr>
          <w:b/>
          <w:bCs/>
        </w:rPr>
        <w:t xml:space="preserve">Differentiation ceiling:</w:t>
      </w:r>
      <w:r>
        <w:t xml:space="preserve"> High, for a specific reason: this track has the closest, most literal overlap with Razorpay’s actual product roadmap of any of the five. A reviewer here isn’t just evaluating “did you build a cool agent,” they can directly picture this shipping. It also produces the single most demo-friendly artifact of any track: a before/after ₹ recovered number, which is exactly the kind of thing that lands in 5 minutes of video.</w:t>
      </w:r>
    </w:p>
    <w:p>
      <w:pPr>
        <w:spacing w:after="160" w:line="300"/>
      </w:pPr>
      <w:r>
        <w:rPr>
          <w:b/>
          <w:bCs/>
        </w:rPr>
        <w:t xml:space="preserve">Risk:</w:t>
      </w:r>
      <w:r>
        <w:t xml:space="preserve"> Don’t let “voice recovery” or “payment-commitment tracking” tempt you into multi-channel scope for a solo 2-week build — pick one recovery channel (e.g. Payment Link nudge) and one failure class, and go deep rather than wide.</w:t>
      </w:r>
    </w:p>
    <w:p>
      <w:pPr>
        <w:pStyle w:val="Heading2"/>
      </w:pPr>
      <w:r>
        <w:t xml:space="preserve">Track 4 — AI Finance Controller</w:t>
      </w:r>
    </w:p>
    <w:p>
      <w:pPr>
        <w:spacing w:after="160" w:line="300"/>
      </w:pPr>
      <w:r>
        <w:rPr>
          <w:b/>
          <w:bCs/>
        </w:rPr>
        <w:t xml:space="preserve">The problem they’re describing:</w:t>
      </w:r>
      <w:r>
        <w:t xml:space="preserve"> Reconciliation, settlement matching, cash forecasting, and tax-line matching are manual and bottlenecked by human verification capacity — a classic back-office ops problem, less flashy but very real cost center.</w:t>
      </w:r>
    </w:p>
    <w:p>
      <w:pPr>
        <w:spacing w:after="160" w:line="300"/>
      </w:pPr>
      <w:r>
        <w:rPr>
          <w:b/>
          <w:bCs/>
        </w:rPr>
        <w:t xml:space="preserve">What they’re asking you to build:</w:t>
      </w:r>
      <w:r>
        <w:t xml:space="preserve"> An agent closing one finance-ops loop — multi-source reconciliation, settlement assistance, cash forecasting, or tax-line matching — across a 50+ record synthetic batch, reporting match rate and unresolved exceptions.</w:t>
      </w:r>
    </w:p>
    <w:p>
      <w:pPr>
        <w:spacing w:after="160" w:line="300"/>
      </w:pPr>
      <w:r>
        <w:rPr>
          <w:b/>
          <w:bCs/>
        </w:rPr>
        <w:t xml:space="preserve">The explicit bar:</w:t>
      </w:r>
      <w:r>
        <w:t xml:space="preserve"> “Throughput plus measured accuracy plus an honest exception list. One cherry-picked match proves nothing.”</w:t>
      </w:r>
    </w:p>
    <w:p>
      <w:pPr>
        <w:spacing w:after="160" w:line="300"/>
      </w:pPr>
      <w:r>
        <w:rPr>
          <w:b/>
          <w:bCs/>
        </w:rPr>
        <w:t xml:space="preserve">Read between the lines:</w:t>
      </w:r>
      <w:r>
        <w:t xml:space="preserve"> This is the most “enter-prise software” of the five tracks — success is a clean, auditable table: N records in, X% matched automatically, Y% correctly flagged as exceptions needing a human, Z% wrong. The phrase “one cherry-picked match proves nothing” is aimed squarely at people who’ll demo three perfect matches and skip the messy ones.</w:t>
      </w:r>
    </w:p>
    <w:p>
      <w:pPr>
        <w:spacing w:after="160" w:line="300"/>
      </w:pPr>
      <w:r>
        <w:rPr>
          <w:b/>
          <w:bCs/>
        </w:rPr>
        <w:t xml:space="preserve">Solo/2-week scoped build idea:</w:t>
      </w:r>
      <w:r>
        <w:t xml:space="preserve"> Build a settlement reconciliation agent: synthesize two datasets that should mostly-but-not-perfectly match (e.g., a Razorpay settlement report vs. an internal order ledger) with deliberately injected mismatches (rounding differences, missing records, timing offsets, duplicate entries, currency/fee discrepancies). Build a matching agent that uses a mix of deterministic rules + LLM-assisted fuzzy matching for ambiguous cases, and outputs a clean exception report with a plain-language explanation for each unresolved item.</w:t>
      </w:r>
    </w:p>
    <w:p>
      <w:pPr>
        <w:spacing w:after="160" w:line="300"/>
      </w:pPr>
      <w:r>
        <w:rPr>
          <w:b/>
          <w:bCs/>
        </w:rPr>
        <w:t xml:space="preserve">Feasibility:</w:t>
      </w:r>
      <w:r>
        <w:t xml:space="preserve"> High — entirely self-contained, no external API dependency risk since you control both synthetic datasets. Good choice if you want a low-risk, fully-controllable build with zero chance of an API surprise derailing your last few days.</w:t>
      </w:r>
    </w:p>
    <w:p>
      <w:pPr>
        <w:spacing w:after="160" w:line="300"/>
      </w:pPr>
      <w:r>
        <w:rPr>
          <w:b/>
          <w:bCs/>
        </w:rPr>
        <w:t xml:space="preserve">Differentiation ceiling:</w:t>
      </w:r>
      <w:r>
        <w:t xml:space="preserve"> Moderate. Reconciliation-style matching is a well-known problem pattern (fuzzy matching, embeddings, rule engines already exist commercially), so the novelty ceiling is lower than the agentic-commerce or revenue-recovery tracks unless your exception-handling and natural-language explanation layer is unusually good. It’s a safer build, not necessarily a more impressive one.</w:t>
      </w:r>
    </w:p>
    <w:p>
      <w:pPr>
        <w:spacing w:after="160" w:line="300"/>
      </w:pPr>
      <w:r>
        <w:rPr>
          <w:b/>
          <w:bCs/>
        </w:rPr>
        <w:t xml:space="preserve">Risk:</w:t>
      </w:r>
      <w:r>
        <w:t xml:space="preserve"> Can read as “a data pipeline with an LLM bolted on” rather than a genuinely agentic system if you’re not careful — make sure there’s real agent judgment (deciding how to resolve ambiguous cases, not just running a fixed matching script) at the core.</w:t>
      </w:r>
    </w:p>
    <w:p>
      <w:pPr>
        <w:pStyle w:val="Heading2"/>
      </w:pPr>
      <w:r>
        <w:t xml:space="preserve">Track 5 — Open Track</w:t>
      </w:r>
    </w:p>
    <w:p>
      <w:pPr>
        <w:spacing w:after="160" w:line="300"/>
      </w:pPr>
      <w:r>
        <w:rPr>
          <w:b/>
          <w:bCs/>
        </w:rPr>
        <w:t xml:space="preserve">The problem they’re describing:</w:t>
      </w:r>
      <w:r>
        <w:t xml:space="preserve"> None specified — “build what you believe should exist outside predefined categories.”</w:t>
      </w:r>
    </w:p>
    <w:p>
      <w:pPr>
        <w:spacing w:after="160" w:line="300"/>
      </w:pPr>
      <w:r>
        <w:rPr>
          <w:b/>
          <w:bCs/>
        </w:rPr>
        <w:t xml:space="preserve">What they’re asking you to build:</w:t>
      </w:r>
      <w:r>
        <w:t xml:space="preserve"> Anything, as long as it’s a real problem, uses AI meaningfully, has a working product, and demonstrates value.</w:t>
      </w:r>
    </w:p>
    <w:p>
      <w:pPr>
        <w:spacing w:after="160" w:line="300"/>
      </w:pPr>
      <w:r>
        <w:rPr>
          <w:b/>
          <w:bCs/>
        </w:rPr>
        <w:t xml:space="preserve">The explicit bar:</w:t>
      </w:r>
      <w:r>
        <w:t xml:space="preserve"> “Show a real problem, a working product, meaningful use of AI, and evidence that it creates value. The same bar for execution, reliability, and depth applies here.” This is important: Open Track is not an easier path. You get no pre-built rubric or framing to align to, and the judges will apply their own bar for what counts as valuable, which is a harder target to hit than a track with an explicit checklist.</w:t>
      </w:r>
    </w:p>
    <w:p>
      <w:pPr>
        <w:spacing w:after="160" w:line="300"/>
      </w:pPr>
      <w:r>
        <w:rPr>
          <w:b/>
          <w:bCs/>
        </w:rPr>
        <w:t xml:space="preserve">Read between the lines:</w:t>
      </w:r>
      <w:r>
        <w:t xml:space="preserve"> Only the right call if you have a genuinely distinctive idea you’re already convinced is strong — not as a fallback for “none of the four fit me.” For someone optimizing purely for selection odds, this is the highest-variance option: highest ceiling if your idea is excellent and clearly fintech/AI-relevant, highest floor risk because there’s no scaffolding to lean on and less obvious alignment with what Razorpay is evaluating for.</w:t>
      </w:r>
    </w:p>
    <w:p>
      <w:pPr>
        <w:spacing w:after="160" w:line="300"/>
      </w:pPr>
      <w:r>
        <w:rPr>
          <w:b/>
          <w:bCs/>
        </w:rPr>
        <w:t xml:space="preserve">Solo/2-week scoped build idea:</w:t>
      </w:r>
      <w:r>
        <w:t xml:space="preserve"> N/A — entirely idea-dependent.</w:t>
      </w:r>
    </w:p>
    <w:p>
      <w:pPr>
        <w:spacing w:after="160" w:line="300"/>
      </w:pPr>
      <w:r>
        <w:rPr>
          <w:b/>
          <w:bCs/>
        </w:rPr>
        <w:t xml:space="preserve">Feasibility:</w:t>
      </w:r>
      <w:r>
        <w:t xml:space="preserve"> Entirely dependent on the specific idea chosen.</w:t>
      </w:r>
    </w:p>
    <w:p>
      <w:pPr>
        <w:spacing w:after="160" w:line="300"/>
      </w:pPr>
      <w:r>
        <w:rPr>
          <w:b/>
          <w:bCs/>
        </w:rPr>
        <w:t xml:space="preserve">Differentiation ceiling:</w:t>
      </w:r>
      <w:r>
        <w:t xml:space="preserve"> Highest ceiling of any track if the idea is genuinely excellent; also the least guided, so harder to calibrate without external feedback.</w:t>
      </w:r>
    </w:p>
    <w:p>
      <w:pPr>
        <w:spacing w:after="160" w:line="300"/>
      </w:pPr>
      <w:r>
        <w:rPr>
          <w:b/>
          <w:bCs/>
        </w:rPr>
        <w:t xml:space="preserve">Risk:</w:t>
      </w:r>
      <w:r>
        <w:t xml:space="preserve"> Not recommended as your default pick given your constraints (solo, ~2 weeks, no single standout idea in hand). The four scoped tracks give you a rubric to build against, which matters a lot when you have limited time to also figure out what “good” looks like.</w:t>
      </w:r>
    </w:p>
    <w:p>
      <w:r>
        <w:br w:type="page"/>
      </w:r>
    </w:p>
    <w:p>
      <w:pPr>
        <w:pStyle w:val="Heading1"/>
      </w:pPr>
      <w:r>
        <w:t xml:space="preserve">2. Comparative scoring (solo builder, ~2 weeks, balanced skillset)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1660"/>
        <w:gridCol w:w="1660"/>
        <w:gridCol w:w="1780"/>
        <w:gridCol w:w="1560"/>
        <w:gridCol w:w="1780"/>
      </w:tblGrid>
      <w:tr>
        <w:trPr>
          <w:tblHeader/>
        </w:trPr>
        <w:tc>
          <w:tcPr>
            <w:tcW w:type="dxa" w:w="2000"/>
            <w:shd w:fill="1F2A44" w:color="auto" w:val="clear"/>
            <w:tcMar>
              <w:top w:type="dxa" w:w="100"/>
              <w:left w:type="dxa" w:w="120"/>
              <w:bottom w:type="dxa" w:w="100"/>
              <w:right w:type="dxa" w:w="120"/>
            </w:tcMar>
          </w:tcPr>
          <w:p>
            <w:pPr>
              <w:spacing w:after="0" w:line="260"/>
            </w:pPr>
            <w:r>
              <w:rPr>
                <w:b/>
                <w:bCs/>
                <w:color w:val="FFFFFF"/>
                <w:sz w:val="19"/>
                <w:szCs w:val="19"/>
              </w:rPr>
              <w:t xml:space="preserve">Track</w:t>
            </w:r>
          </w:p>
        </w:tc>
        <w:tc>
          <w:tcPr>
            <w:tcW w:type="dxa" w:w="1660"/>
            <w:shd w:fill="1F2A44" w:color="auto" w:val="clear"/>
            <w:tcMar>
              <w:top w:type="dxa" w:w="100"/>
              <w:left w:type="dxa" w:w="120"/>
              <w:bottom w:type="dxa" w:w="100"/>
              <w:right w:type="dxa" w:w="120"/>
            </w:tcMar>
          </w:tcPr>
          <w:p>
            <w:pPr>
              <w:spacing w:after="0" w:line="260"/>
            </w:pPr>
            <w:r>
              <w:rPr>
                <w:b/>
                <w:bCs/>
                <w:color w:val="FFFFFF"/>
                <w:sz w:val="19"/>
                <w:szCs w:val="19"/>
              </w:rPr>
              <w:t xml:space="preserve">Business resonance</w:t>
            </w:r>
          </w:p>
        </w:tc>
        <w:tc>
          <w:tcPr>
            <w:tcW w:type="dxa" w:w="1660"/>
            <w:shd w:fill="1F2A44" w:color="auto" w:val="clear"/>
            <w:tcMar>
              <w:top w:type="dxa" w:w="100"/>
              <w:left w:type="dxa" w:w="120"/>
              <w:bottom w:type="dxa" w:w="100"/>
              <w:right w:type="dxa" w:w="120"/>
            </w:tcMar>
          </w:tcPr>
          <w:p>
            <w:pPr>
              <w:spacing w:after="0" w:line="260"/>
            </w:pPr>
            <w:r>
              <w:rPr>
                <w:b/>
                <w:bCs/>
                <w:color w:val="FFFFFF"/>
                <w:sz w:val="19"/>
                <w:szCs w:val="19"/>
              </w:rPr>
              <w:t xml:space="preserve">Feasibility (solo/2wk)</w:t>
            </w:r>
          </w:p>
        </w:tc>
        <w:tc>
          <w:tcPr>
            <w:tcW w:type="dxa" w:w="1780"/>
            <w:shd w:fill="1F2A44" w:color="auto" w:val="clear"/>
            <w:tcMar>
              <w:top w:type="dxa" w:w="100"/>
              <w:left w:type="dxa" w:w="120"/>
              <w:bottom w:type="dxa" w:w="100"/>
              <w:right w:type="dxa" w:w="120"/>
            </w:tcMar>
          </w:tcPr>
          <w:p>
            <w:pPr>
              <w:spacing w:after="0" w:line="260"/>
            </w:pPr>
            <w:r>
              <w:rPr>
                <w:b/>
                <w:bCs/>
                <w:color w:val="FFFFFF"/>
                <w:sz w:val="19"/>
                <w:szCs w:val="19"/>
              </w:rPr>
              <w:t xml:space="preserve">Metric clarity</w:t>
            </w:r>
          </w:p>
        </w:tc>
        <w:tc>
          <w:tcPr>
            <w:tcW w:type="dxa" w:w="1560"/>
            <w:shd w:fill="1F2A44" w:color="auto" w:val="clear"/>
            <w:tcMar>
              <w:top w:type="dxa" w:w="100"/>
              <w:left w:type="dxa" w:w="120"/>
              <w:bottom w:type="dxa" w:w="100"/>
              <w:right w:type="dxa" w:w="120"/>
            </w:tcMar>
          </w:tcPr>
          <w:p>
            <w:pPr>
              <w:spacing w:after="0" w:line="260"/>
            </w:pPr>
            <w:r>
              <w:rPr>
                <w:b/>
                <w:bCs/>
                <w:color w:val="FFFFFF"/>
                <w:sz w:val="19"/>
                <w:szCs w:val="19"/>
              </w:rPr>
              <w:t xml:space="preserve">Differentiation ceiling</w:t>
            </w:r>
          </w:p>
        </w:tc>
        <w:tc>
          <w:tcPr>
            <w:tcW w:type="dxa" w:w="1780"/>
            <w:shd w:fill="1F2A44" w:color="auto" w:val="clear"/>
            <w:tcMar>
              <w:top w:type="dxa" w:w="100"/>
              <w:left w:type="dxa" w:w="120"/>
              <w:bottom w:type="dxa" w:w="100"/>
              <w:right w:type="dxa" w:w="120"/>
            </w:tcMar>
          </w:tcPr>
          <w:p>
            <w:pPr>
              <w:spacing w:after="0" w:line="260"/>
            </w:pPr>
            <w:r>
              <w:rPr>
                <w:b/>
                <w:bCs/>
                <w:color w:val="FFFFFF"/>
                <w:sz w:val="19"/>
                <w:szCs w:val="19"/>
              </w:rPr>
              <w:t xml:space="preserve">Guardrail story</w:t>
            </w:r>
          </w:p>
        </w:tc>
      </w:tr>
      <w:tr>
        <w:tc>
          <w:tcPr>
            <w:tcW w:type="dxa" w:w="2000"/>
            <w:tcMar>
              <w:top w:type="dxa" w:w="100"/>
              <w:left w:type="dxa" w:w="120"/>
              <w:bottom w:type="dxa" w:w="100"/>
              <w:right w:type="dxa" w:w="120"/>
            </w:tcMar>
          </w:tcPr>
          <w:p>
            <w:pPr>
              <w:spacing w:after="0" w:line="260"/>
            </w:pPr>
            <w:r>
              <w:rPr>
                <w:b w:val="false"/>
                <w:bCs w:val="false"/>
                <w:color w:val="000000"/>
                <w:sz w:val="19"/>
                <w:szCs w:val="19"/>
              </w:rPr>
              <w:t xml:space="preserve">1. AI Growth &amp; Agentic Commerce</w:t>
            </w:r>
          </w:p>
        </w:tc>
        <w:tc>
          <w:tcPr>
            <w:tcW w:type="dxa" w:w="1660"/>
            <w:tcMar>
              <w:top w:type="dxa" w:w="100"/>
              <w:left w:type="dxa" w:w="120"/>
              <w:bottom w:type="dxa" w:w="100"/>
              <w:right w:type="dxa" w:w="120"/>
            </w:tcMar>
          </w:tcPr>
          <w:p>
            <w:pPr>
              <w:spacing w:after="0" w:line="260"/>
            </w:pPr>
            <w:r>
              <w:rPr>
                <w:b w:val="false"/>
                <w:bCs w:val="false"/>
                <w:color w:val="000000"/>
                <w:sz w:val="19"/>
                <w:szCs w:val="19"/>
              </w:rPr>
              <w:t xml:space="preserve">Very high (strategic bet)</w:t>
            </w:r>
          </w:p>
        </w:tc>
        <w:tc>
          <w:tcPr>
            <w:tcW w:type="dxa" w:w="1660"/>
            <w:tcMar>
              <w:top w:type="dxa" w:w="100"/>
              <w:left w:type="dxa" w:w="120"/>
              <w:bottom w:type="dxa" w:w="100"/>
              <w:right w:type="dxa" w:w="120"/>
            </w:tcMar>
          </w:tcPr>
          <w:p>
            <w:pPr>
              <w:spacing w:after="0" w:line="260"/>
            </w:pPr>
            <w:r>
              <w:rPr>
                <w:b w:val="false"/>
                <w:bCs w:val="false"/>
                <w:color w:val="000000"/>
                <w:sz w:val="19"/>
                <w:szCs w:val="19"/>
              </w:rPr>
              <w:t xml:space="preserve">High</w:t>
            </w:r>
          </w:p>
        </w:tc>
        <w:tc>
          <w:tcPr>
            <w:tcW w:type="dxa" w:w="1780"/>
            <w:tcMar>
              <w:top w:type="dxa" w:w="100"/>
              <w:left w:type="dxa" w:w="120"/>
              <w:bottom w:type="dxa" w:w="100"/>
              <w:right w:type="dxa" w:w="120"/>
            </w:tcMar>
          </w:tcPr>
          <w:p>
            <w:pPr>
              <w:spacing w:after="0" w:line="260"/>
            </w:pPr>
            <w:r>
              <w:rPr>
                <w:b w:val="false"/>
                <w:bCs w:val="false"/>
                <w:color w:val="000000"/>
                <w:sz w:val="19"/>
                <w:szCs w:val="19"/>
              </w:rPr>
              <w:t xml:space="preserve">Medium</w:t>
            </w:r>
          </w:p>
        </w:tc>
        <w:tc>
          <w:tcPr>
            <w:tcW w:type="dxa" w:w="1560"/>
            <w:tcMar>
              <w:top w:type="dxa" w:w="100"/>
              <w:left w:type="dxa" w:w="120"/>
              <w:bottom w:type="dxa" w:w="100"/>
              <w:right w:type="dxa" w:w="120"/>
            </w:tcMar>
          </w:tcPr>
          <w:p>
            <w:pPr>
              <w:spacing w:after="0" w:line="260"/>
            </w:pPr>
            <w:r>
              <w:rPr>
                <w:b w:val="false"/>
                <w:bCs w:val="false"/>
                <w:color w:val="000000"/>
                <w:sz w:val="19"/>
                <w:szCs w:val="19"/>
              </w:rPr>
              <w:t xml:space="preserve">Very high</w:t>
            </w:r>
          </w:p>
        </w:tc>
        <w:tc>
          <w:tcPr>
            <w:tcW w:type="dxa" w:w="1780"/>
            <w:tcMar>
              <w:top w:type="dxa" w:w="100"/>
              <w:left w:type="dxa" w:w="120"/>
              <w:bottom w:type="dxa" w:w="100"/>
              <w:right w:type="dxa" w:w="120"/>
            </w:tcMar>
          </w:tcPr>
          <w:p>
            <w:pPr>
              <w:spacing w:after="0" w:line="260"/>
            </w:pPr>
            <w:r>
              <w:rPr>
                <w:b w:val="false"/>
                <w:bCs w:val="false"/>
                <w:color w:val="000000"/>
                <w:sz w:val="19"/>
                <w:szCs w:val="19"/>
              </w:rPr>
              <w:t xml:space="preserve">Strong — explicit ask</w:t>
            </w:r>
          </w:p>
        </w:tc>
      </w:tr>
      <w:tr>
        <w:tc>
          <w:tcPr>
            <w:tcW w:type="dxa" w:w="2000"/>
            <w:shd w:fill="F2F4F8" w:color="auto" w:val="clear"/>
            <w:tcMar>
              <w:top w:type="dxa" w:w="100"/>
              <w:left w:type="dxa" w:w="120"/>
              <w:bottom w:type="dxa" w:w="100"/>
              <w:right w:type="dxa" w:w="120"/>
            </w:tcMar>
          </w:tcPr>
          <w:p>
            <w:pPr>
              <w:spacing w:after="0" w:line="260"/>
            </w:pPr>
            <w:r>
              <w:rPr>
                <w:b w:val="false"/>
                <w:bCs w:val="false"/>
                <w:color w:val="000000"/>
                <w:sz w:val="19"/>
                <w:szCs w:val="19"/>
              </w:rPr>
              <w:t xml:space="preserve">2. AI Risk Manager</w:t>
            </w:r>
          </w:p>
        </w:tc>
        <w:tc>
          <w:tcPr>
            <w:tcW w:type="dxa" w:w="1660"/>
            <w:shd w:fill="F2F4F8" w:color="auto" w:val="clear"/>
            <w:tcMar>
              <w:top w:type="dxa" w:w="100"/>
              <w:left w:type="dxa" w:w="120"/>
              <w:bottom w:type="dxa" w:w="100"/>
              <w:right w:type="dxa" w:w="120"/>
            </w:tcMar>
          </w:tcPr>
          <w:p>
            <w:pPr>
              <w:spacing w:after="0" w:line="260"/>
            </w:pPr>
            <w:r>
              <w:rPr>
                <w:b w:val="false"/>
                <w:bCs w:val="false"/>
                <w:color w:val="000000"/>
                <w:sz w:val="19"/>
                <w:szCs w:val="19"/>
              </w:rPr>
              <w:t xml:space="preserve">High</w:t>
            </w:r>
          </w:p>
        </w:tc>
        <w:tc>
          <w:tcPr>
            <w:tcW w:type="dxa" w:w="1660"/>
            <w:shd w:fill="F2F4F8" w:color="auto" w:val="clear"/>
            <w:tcMar>
              <w:top w:type="dxa" w:w="100"/>
              <w:left w:type="dxa" w:w="120"/>
              <w:bottom w:type="dxa" w:w="100"/>
              <w:right w:type="dxa" w:w="120"/>
            </w:tcMar>
          </w:tcPr>
          <w:p>
            <w:pPr>
              <w:spacing w:after="0" w:line="260"/>
            </w:pPr>
            <w:r>
              <w:rPr>
                <w:b w:val="false"/>
                <w:bCs w:val="false"/>
                <w:color w:val="000000"/>
                <w:sz w:val="19"/>
                <w:szCs w:val="19"/>
              </w:rPr>
              <w:t xml:space="preserve">Very high</w:t>
            </w:r>
          </w:p>
        </w:tc>
        <w:tc>
          <w:tcPr>
            <w:tcW w:type="dxa" w:w="1780"/>
            <w:shd w:fill="F2F4F8" w:color="auto" w:val="clear"/>
            <w:tcMar>
              <w:top w:type="dxa" w:w="100"/>
              <w:left w:type="dxa" w:w="120"/>
              <w:bottom w:type="dxa" w:w="100"/>
              <w:right w:type="dxa" w:w="120"/>
            </w:tcMar>
          </w:tcPr>
          <w:p>
            <w:pPr>
              <w:spacing w:after="0" w:line="260"/>
            </w:pPr>
            <w:r>
              <w:rPr>
                <w:b w:val="false"/>
                <w:bCs w:val="false"/>
                <w:color w:val="000000"/>
                <w:sz w:val="19"/>
                <w:szCs w:val="19"/>
              </w:rPr>
              <w:t xml:space="preserve">Very high (precision/recall)</w:t>
            </w:r>
          </w:p>
        </w:tc>
        <w:tc>
          <w:tcPr>
            <w:tcW w:type="dxa" w:w="1560"/>
            <w:shd w:fill="F2F4F8" w:color="auto" w:val="clear"/>
            <w:tcMar>
              <w:top w:type="dxa" w:w="100"/>
              <w:left w:type="dxa" w:w="120"/>
              <w:bottom w:type="dxa" w:w="100"/>
              <w:right w:type="dxa" w:w="120"/>
            </w:tcMar>
          </w:tcPr>
          <w:p>
            <w:pPr>
              <w:spacing w:after="0" w:line="260"/>
            </w:pPr>
            <w:r>
              <w:rPr>
                <w:b w:val="false"/>
                <w:bCs w:val="false"/>
                <w:color w:val="000000"/>
                <w:sz w:val="19"/>
                <w:szCs w:val="19"/>
              </w:rPr>
              <w:t xml:space="preserve">Low–Medium (crowded)</w:t>
            </w:r>
          </w:p>
        </w:tc>
        <w:tc>
          <w:tcPr>
            <w:tcW w:type="dxa" w:w="1780"/>
            <w:shd w:fill="F2F4F8" w:color="auto" w:val="clear"/>
            <w:tcMar>
              <w:top w:type="dxa" w:w="100"/>
              <w:left w:type="dxa" w:w="120"/>
              <w:bottom w:type="dxa" w:w="100"/>
              <w:right w:type="dxa" w:w="120"/>
            </w:tcMar>
          </w:tcPr>
          <w:p>
            <w:pPr>
              <w:spacing w:after="0" w:line="260"/>
            </w:pPr>
            <w:r>
              <w:rPr>
                <w:b w:val="false"/>
                <w:bCs w:val="false"/>
                <w:color w:val="000000"/>
                <w:sz w:val="19"/>
                <w:szCs w:val="19"/>
              </w:rPr>
              <w:t xml:space="preserve">Strong — explicit ask</w:t>
            </w:r>
          </w:p>
        </w:tc>
      </w:tr>
      <w:tr>
        <w:tc>
          <w:tcPr>
            <w:tcW w:type="dxa" w:w="2000"/>
            <w:tcMar>
              <w:top w:type="dxa" w:w="100"/>
              <w:left w:type="dxa" w:w="120"/>
              <w:bottom w:type="dxa" w:w="100"/>
              <w:right w:type="dxa" w:w="120"/>
            </w:tcMar>
          </w:tcPr>
          <w:p>
            <w:pPr>
              <w:spacing w:after="0" w:line="260"/>
            </w:pPr>
            <w:r>
              <w:rPr>
                <w:b w:val="false"/>
                <w:bCs w:val="false"/>
                <w:color w:val="000000"/>
                <w:sz w:val="19"/>
                <w:szCs w:val="19"/>
              </w:rPr>
              <w:t xml:space="preserve">3. AI Revenue Recovery</w:t>
            </w:r>
          </w:p>
        </w:tc>
        <w:tc>
          <w:tcPr>
            <w:tcW w:type="dxa" w:w="1660"/>
            <w:tcMar>
              <w:top w:type="dxa" w:w="100"/>
              <w:left w:type="dxa" w:w="120"/>
              <w:bottom w:type="dxa" w:w="100"/>
              <w:right w:type="dxa" w:w="120"/>
            </w:tcMar>
          </w:tcPr>
          <w:p>
            <w:pPr>
              <w:spacing w:after="0" w:line="260"/>
            </w:pPr>
            <w:r>
              <w:rPr>
                <w:b w:val="false"/>
                <w:bCs w:val="false"/>
                <w:color w:val="000000"/>
                <w:sz w:val="19"/>
                <w:szCs w:val="19"/>
              </w:rPr>
              <w:t xml:space="preserve">Very high (core product)</w:t>
            </w:r>
          </w:p>
        </w:tc>
        <w:tc>
          <w:tcPr>
            <w:tcW w:type="dxa" w:w="1660"/>
            <w:tcMar>
              <w:top w:type="dxa" w:w="100"/>
              <w:left w:type="dxa" w:w="120"/>
              <w:bottom w:type="dxa" w:w="100"/>
              <w:right w:type="dxa" w:w="120"/>
            </w:tcMar>
          </w:tcPr>
          <w:p>
            <w:pPr>
              <w:spacing w:after="0" w:line="260"/>
            </w:pPr>
            <w:r>
              <w:rPr>
                <w:b w:val="false"/>
                <w:bCs w:val="false"/>
                <w:color w:val="000000"/>
                <w:sz w:val="19"/>
                <w:szCs w:val="19"/>
              </w:rPr>
              <w:t xml:space="preserve">High</w:t>
            </w:r>
          </w:p>
        </w:tc>
        <w:tc>
          <w:tcPr>
            <w:tcW w:type="dxa" w:w="1780"/>
            <w:tcMar>
              <w:top w:type="dxa" w:w="100"/>
              <w:left w:type="dxa" w:w="120"/>
              <w:bottom w:type="dxa" w:w="100"/>
              <w:right w:type="dxa" w:w="120"/>
            </w:tcMar>
          </w:tcPr>
          <w:p>
            <w:pPr>
              <w:spacing w:after="0" w:line="260"/>
            </w:pPr>
            <w:r>
              <w:rPr>
                <w:b w:val="false"/>
                <w:bCs w:val="false"/>
                <w:color w:val="000000"/>
                <w:sz w:val="19"/>
                <w:szCs w:val="19"/>
              </w:rPr>
              <w:t xml:space="preserve">Very high (₹ recovered)</w:t>
            </w:r>
          </w:p>
        </w:tc>
        <w:tc>
          <w:tcPr>
            <w:tcW w:type="dxa" w:w="1560"/>
            <w:tcMar>
              <w:top w:type="dxa" w:w="100"/>
              <w:left w:type="dxa" w:w="120"/>
              <w:bottom w:type="dxa" w:w="100"/>
              <w:right w:type="dxa" w:w="120"/>
            </w:tcMar>
          </w:tcPr>
          <w:p>
            <w:pPr>
              <w:spacing w:after="0" w:line="260"/>
            </w:pPr>
            <w:r>
              <w:rPr>
                <w:b w:val="false"/>
                <w:bCs w:val="false"/>
                <w:color w:val="000000"/>
                <w:sz w:val="19"/>
                <w:szCs w:val="19"/>
              </w:rPr>
              <w:t xml:space="preserve">High</w:t>
            </w:r>
          </w:p>
        </w:tc>
        <w:tc>
          <w:tcPr>
            <w:tcW w:type="dxa" w:w="1780"/>
            <w:tcMar>
              <w:top w:type="dxa" w:w="100"/>
              <w:left w:type="dxa" w:w="120"/>
              <w:bottom w:type="dxa" w:w="100"/>
              <w:right w:type="dxa" w:w="120"/>
            </w:tcMar>
          </w:tcPr>
          <w:p>
            <w:pPr>
              <w:spacing w:after="0" w:line="260"/>
            </w:pPr>
            <w:r>
              <w:rPr>
                <w:b w:val="false"/>
                <w:bCs w:val="false"/>
                <w:color w:val="000000"/>
                <w:sz w:val="19"/>
                <w:szCs w:val="19"/>
              </w:rPr>
              <w:t xml:space="preserve">Strong — explicit ask</w:t>
            </w:r>
          </w:p>
        </w:tc>
      </w:tr>
      <w:tr>
        <w:tc>
          <w:tcPr>
            <w:tcW w:type="dxa" w:w="2000"/>
            <w:shd w:fill="F2F4F8" w:color="auto" w:val="clear"/>
            <w:tcMar>
              <w:top w:type="dxa" w:w="100"/>
              <w:left w:type="dxa" w:w="120"/>
              <w:bottom w:type="dxa" w:w="100"/>
              <w:right w:type="dxa" w:w="120"/>
            </w:tcMar>
          </w:tcPr>
          <w:p>
            <w:pPr>
              <w:spacing w:after="0" w:line="260"/>
            </w:pPr>
            <w:r>
              <w:rPr>
                <w:b w:val="false"/>
                <w:bCs w:val="false"/>
                <w:color w:val="000000"/>
                <w:sz w:val="19"/>
                <w:szCs w:val="19"/>
              </w:rPr>
              <w:t xml:space="preserve">4. AI Finance Controller</w:t>
            </w:r>
          </w:p>
        </w:tc>
        <w:tc>
          <w:tcPr>
            <w:tcW w:type="dxa" w:w="1660"/>
            <w:shd w:fill="F2F4F8" w:color="auto" w:val="clear"/>
            <w:tcMar>
              <w:top w:type="dxa" w:w="100"/>
              <w:left w:type="dxa" w:w="120"/>
              <w:bottom w:type="dxa" w:w="100"/>
              <w:right w:type="dxa" w:w="120"/>
            </w:tcMar>
          </w:tcPr>
          <w:p>
            <w:pPr>
              <w:spacing w:after="0" w:line="260"/>
            </w:pPr>
            <w:r>
              <w:rPr>
                <w:b w:val="false"/>
                <w:bCs w:val="false"/>
                <w:color w:val="000000"/>
                <w:sz w:val="19"/>
                <w:szCs w:val="19"/>
              </w:rPr>
              <w:t xml:space="preserve">Medium–High</w:t>
            </w:r>
          </w:p>
        </w:tc>
        <w:tc>
          <w:tcPr>
            <w:tcW w:type="dxa" w:w="1660"/>
            <w:shd w:fill="F2F4F8" w:color="auto" w:val="clear"/>
            <w:tcMar>
              <w:top w:type="dxa" w:w="100"/>
              <w:left w:type="dxa" w:w="120"/>
              <w:bottom w:type="dxa" w:w="100"/>
              <w:right w:type="dxa" w:w="120"/>
            </w:tcMar>
          </w:tcPr>
          <w:p>
            <w:pPr>
              <w:spacing w:after="0" w:line="260"/>
            </w:pPr>
            <w:r>
              <w:rPr>
                <w:b w:val="false"/>
                <w:bCs w:val="false"/>
                <w:color w:val="000000"/>
                <w:sz w:val="19"/>
                <w:szCs w:val="19"/>
              </w:rPr>
              <w:t xml:space="preserve">Very high (self-contained)</w:t>
            </w:r>
          </w:p>
        </w:tc>
        <w:tc>
          <w:tcPr>
            <w:tcW w:type="dxa" w:w="1780"/>
            <w:shd w:fill="F2F4F8" w:color="auto" w:val="clear"/>
            <w:tcMar>
              <w:top w:type="dxa" w:w="100"/>
              <w:left w:type="dxa" w:w="120"/>
              <w:bottom w:type="dxa" w:w="100"/>
              <w:right w:type="dxa" w:w="120"/>
            </w:tcMar>
          </w:tcPr>
          <w:p>
            <w:pPr>
              <w:spacing w:after="0" w:line="260"/>
            </w:pPr>
            <w:r>
              <w:rPr>
                <w:b w:val="false"/>
                <w:bCs w:val="false"/>
                <w:color w:val="000000"/>
                <w:sz w:val="19"/>
                <w:szCs w:val="19"/>
              </w:rPr>
              <w:t xml:space="preserve">Very high (match rate)</w:t>
            </w:r>
          </w:p>
        </w:tc>
        <w:tc>
          <w:tcPr>
            <w:tcW w:type="dxa" w:w="1560"/>
            <w:shd w:fill="F2F4F8" w:color="auto" w:val="clear"/>
            <w:tcMar>
              <w:top w:type="dxa" w:w="100"/>
              <w:left w:type="dxa" w:w="120"/>
              <w:bottom w:type="dxa" w:w="100"/>
              <w:right w:type="dxa" w:w="120"/>
            </w:tcMar>
          </w:tcPr>
          <w:p>
            <w:pPr>
              <w:spacing w:after="0" w:line="260"/>
            </w:pPr>
            <w:r>
              <w:rPr>
                <w:b w:val="false"/>
                <w:bCs w:val="false"/>
                <w:color w:val="000000"/>
                <w:sz w:val="19"/>
                <w:szCs w:val="19"/>
              </w:rPr>
              <w:t xml:space="preserve">Medium</w:t>
            </w:r>
          </w:p>
        </w:tc>
        <w:tc>
          <w:tcPr>
            <w:tcW w:type="dxa" w:w="1780"/>
            <w:shd w:fill="F2F4F8" w:color="auto" w:val="clear"/>
            <w:tcMar>
              <w:top w:type="dxa" w:w="100"/>
              <w:left w:type="dxa" w:w="120"/>
              <w:bottom w:type="dxa" w:w="100"/>
              <w:right w:type="dxa" w:w="120"/>
            </w:tcMar>
          </w:tcPr>
          <w:p>
            <w:pPr>
              <w:spacing w:after="0" w:line="260"/>
            </w:pPr>
            <w:r>
              <w:rPr>
                <w:b w:val="false"/>
                <w:bCs w:val="false"/>
                <w:color w:val="000000"/>
                <w:sz w:val="19"/>
                <w:szCs w:val="19"/>
              </w:rPr>
              <w:t xml:space="preserve">Moderate</w:t>
            </w:r>
          </w:p>
        </w:tc>
      </w:tr>
      <w:tr>
        <w:tc>
          <w:tcPr>
            <w:tcW w:type="dxa" w:w="2000"/>
            <w:tcMar>
              <w:top w:type="dxa" w:w="100"/>
              <w:left w:type="dxa" w:w="120"/>
              <w:bottom w:type="dxa" w:w="100"/>
              <w:right w:type="dxa" w:w="120"/>
            </w:tcMar>
          </w:tcPr>
          <w:p>
            <w:pPr>
              <w:spacing w:after="0" w:line="260"/>
            </w:pPr>
            <w:r>
              <w:rPr>
                <w:b w:val="false"/>
                <w:bCs w:val="false"/>
                <w:color w:val="000000"/>
                <w:sz w:val="19"/>
                <w:szCs w:val="19"/>
              </w:rPr>
              <w:t xml:space="preserve">5. Open Track</w:t>
            </w:r>
          </w:p>
        </w:tc>
        <w:tc>
          <w:tcPr>
            <w:tcW w:type="dxa" w:w="1660"/>
            <w:tcMar>
              <w:top w:type="dxa" w:w="100"/>
              <w:left w:type="dxa" w:w="120"/>
              <w:bottom w:type="dxa" w:w="100"/>
              <w:right w:type="dxa" w:w="120"/>
            </w:tcMar>
          </w:tcPr>
          <w:p>
            <w:pPr>
              <w:spacing w:after="0" w:line="260"/>
            </w:pPr>
            <w:r>
              <w:rPr>
                <w:b w:val="false"/>
                <w:bCs w:val="false"/>
                <w:color w:val="000000"/>
                <w:sz w:val="19"/>
                <w:szCs w:val="19"/>
              </w:rPr>
              <w:t xml:space="preserve">Unknown</w:t>
            </w:r>
          </w:p>
        </w:tc>
        <w:tc>
          <w:tcPr>
            <w:tcW w:type="dxa" w:w="1660"/>
            <w:tcMar>
              <w:top w:type="dxa" w:w="100"/>
              <w:left w:type="dxa" w:w="120"/>
              <w:bottom w:type="dxa" w:w="100"/>
              <w:right w:type="dxa" w:w="120"/>
            </w:tcMar>
          </w:tcPr>
          <w:p>
            <w:pPr>
              <w:spacing w:after="0" w:line="260"/>
            </w:pPr>
            <w:r>
              <w:rPr>
                <w:b w:val="false"/>
                <w:bCs w:val="false"/>
                <w:color w:val="000000"/>
                <w:sz w:val="19"/>
                <w:szCs w:val="19"/>
              </w:rPr>
              <w:t xml:space="preserve">Depends on idea</w:t>
            </w:r>
          </w:p>
        </w:tc>
        <w:tc>
          <w:tcPr>
            <w:tcW w:type="dxa" w:w="1780"/>
            <w:tcMar>
              <w:top w:type="dxa" w:w="100"/>
              <w:left w:type="dxa" w:w="120"/>
              <w:bottom w:type="dxa" w:w="100"/>
              <w:right w:type="dxa" w:w="120"/>
            </w:tcMar>
          </w:tcPr>
          <w:p>
            <w:pPr>
              <w:spacing w:after="0" w:line="260"/>
            </w:pPr>
            <w:r>
              <w:rPr>
                <w:b w:val="false"/>
                <w:bCs w:val="false"/>
                <w:color w:val="000000"/>
                <w:sz w:val="19"/>
                <w:szCs w:val="19"/>
              </w:rPr>
              <w:t xml:space="preserve">Depends</w:t>
            </w:r>
          </w:p>
        </w:tc>
        <w:tc>
          <w:tcPr>
            <w:tcW w:type="dxa" w:w="1560"/>
            <w:tcMar>
              <w:top w:type="dxa" w:w="100"/>
              <w:left w:type="dxa" w:w="120"/>
              <w:bottom w:type="dxa" w:w="100"/>
              <w:right w:type="dxa" w:w="120"/>
            </w:tcMar>
          </w:tcPr>
          <w:p>
            <w:pPr>
              <w:spacing w:after="0" w:line="260"/>
            </w:pPr>
            <w:r>
              <w:rPr>
                <w:b w:val="false"/>
                <w:bCs w:val="false"/>
                <w:color w:val="000000"/>
                <w:sz w:val="19"/>
                <w:szCs w:val="19"/>
              </w:rPr>
              <w:t xml:space="preserve">Depends</w:t>
            </w:r>
          </w:p>
        </w:tc>
        <w:tc>
          <w:tcPr>
            <w:tcW w:type="dxa" w:w="1780"/>
            <w:tcMar>
              <w:top w:type="dxa" w:w="100"/>
              <w:left w:type="dxa" w:w="120"/>
              <w:bottom w:type="dxa" w:w="100"/>
              <w:right w:type="dxa" w:w="120"/>
            </w:tcMar>
          </w:tcPr>
          <w:p>
            <w:pPr>
              <w:spacing w:after="0" w:line="260"/>
            </w:pPr>
            <w:r>
              <w:rPr>
                <w:b w:val="false"/>
                <w:bCs w:val="false"/>
                <w:color w:val="000000"/>
                <w:sz w:val="19"/>
                <w:szCs w:val="19"/>
              </w:rPr>
              <w:t xml:space="preserve">Depends</w:t>
            </w:r>
          </w:p>
        </w:tc>
      </w:tr>
    </w:tbl>
    <w:p>
      <w:pPr>
        <w:spacing w:after="240"/>
      </w:pPr>
    </w:p>
    <w:p>
      <w:pPr>
        <w:pStyle w:val="Heading1"/>
      </w:pPr>
      <w:r>
        <w:t xml:space="preserve">3. Recommendation</w:t>
      </w:r>
    </w:p>
    <w:p>
      <w:pPr>
        <w:spacing w:after="160" w:line="300"/>
      </w:pPr>
      <w:r>
        <w:rPr>
          <w:b/>
          <w:bCs/>
        </w:rPr>
        <w:t xml:space="preserve">Primary pick: Track 3 — AI Revenue Recovery.</w:t>
      </w:r>
      <w:r>
        <w:t xml:space="preserve"> It sits at the intersection of the two things that matter most for a solo 2-week build aimed at an internship panel — it’s the track closest to Razorpay’s actual, current product surface (which means reviewers can evaluate your judgment against a domain they know cold), and it produces the single cleanest video narrative of any track: “here’s a batch of N failed payments, here’s what the agent did, here’s the ₹ recovered, here’s the one it correctly gave up on and escalated.” That last part — the honest failure case — is exactly what the track’s own language is fishing for. It’s buildable end-to-end against real Razorpay test-mode APIs (not synthetic-only, unlike Track 4), which reads as more credible than a fully self-contained sandbox exercise.</w:t>
      </w:r>
    </w:p>
    <w:p>
      <w:pPr>
        <w:spacing w:after="160" w:line="300"/>
      </w:pPr>
      <w:r>
        <w:rPr>
          <w:b/>
          <w:bCs/>
        </w:rPr>
        <w:t xml:space="preserve">Strong runner-up: Track 1 — AI Growth &amp; Agentic Commerce,</w:t>
      </w:r>
      <w:r>
        <w:t xml:space="preserve"> if you want to bet on strategic alignment over safety-of-execution. It has the highest ceiling of any track because agentic commerce is clearly a live strategic interest for Razorpay right now, and few entrants will build a genuine two-sided flow well. Pick this instead of Track 3 if you’re confident you can keep the scope to exactly one buyer journey and resist the urge to build a general-purpose shopping agent — the risk here is entirely self-inflicted scope creep, not technical infeasibility.</w:t>
      </w:r>
    </w:p>
    <w:p>
      <w:pPr>
        <w:spacing w:after="160" w:line="300"/>
      </w:pPr>
      <w:r>
        <w:rPr>
          <w:b/>
          <w:bCs/>
        </w:rPr>
        <w:t xml:space="preserve">Third option worth naming: Track 2 — AI Risk Manager,</w:t>
      </w:r>
      <w:r>
        <w:t xml:space="preserve"> specifically the chargeback-auto-responder angle rather than a bare fraud classifier, if you want the lowest-execution-risk path with the clearest possible metrics story (precision/recall is about as unambiguous as evaluation gets) and don’t mind a more crowded field.</w:t>
      </w:r>
    </w:p>
    <w:p>
      <w:pPr>
        <w:spacing w:after="160" w:line="300"/>
      </w:pPr>
      <w:r>
        <w:t xml:space="preserve">I’d avoid Track 4 unless you specifically want the lowest-risk, most self-contained build (no external API dependency at all), and avoid the Open Track unless a specific idea is already pulling at you strongly.</w:t>
      </w:r>
    </w:p>
    <w:p>
      <w:r>
        <w:br w:type="page"/>
      </w:r>
    </w:p>
    <w:p>
      <w:pPr>
        <w:pStyle w:val="Heading1"/>
      </w:pPr>
      <w:r>
        <w:t xml:space="preserve">4. If you go with Track 3 — a concrete 2-week solo build plan</w:t>
      </w:r>
    </w:p>
    <w:p>
      <w:pPr>
        <w:spacing w:after="160" w:line="300"/>
      </w:pPr>
      <w:r>
        <w:rPr>
          <w:b/>
          <w:bCs/>
        </w:rPr>
        <w:t xml:space="preserve">Days 1-2 — Scope lock + data.</w:t>
      </w:r>
      <w:r>
        <w:t xml:space="preserve"> Pick exactly one recovery channel (recommend: failed subscription/checkout payment via a Payment Link nudge) and one failure taxonomy (declined, expired card, insufficient funds, abandoned checkout). Generate a synthetic batch of 50-100 failed-payment events. Set up Razorpay test-mode account and get Orders/Payment Links/webhooks working end-to-end manually first.</w:t>
      </w:r>
    </w:p>
    <w:p>
      <w:pPr>
        <w:spacing w:after="160" w:line="300"/>
      </w:pPr>
      <w:r>
        <w:rPr>
          <w:b/>
          <w:bCs/>
        </w:rPr>
        <w:t xml:space="preserve">Days 3-6 — Core agent.</w:t>
      </w:r>
      <w:r>
        <w:t xml:space="preserve"> Build the detection layer (classify failure reason + risk of permanent loss), the decision layer (which intervention, what timing, is a discount warranted), and the execution layer (create the Payment Link / send the nudge, track response). Add the audit log from day one, not at the end — every action the agent takes gets a structured log entry.</w:t>
      </w:r>
    </w:p>
    <w:p>
      <w:pPr>
        <w:spacing w:after="160" w:line="300"/>
      </w:pPr>
      <w:r>
        <w:rPr>
          <w:b/>
          <w:bCs/>
        </w:rPr>
        <w:t xml:space="preserve">Days 7-9 — Guardrails.</w:t>
      </w:r>
      <w:r>
        <w:t xml:space="preserve"> Add frequency caps, stop-after-N-attempts, and an explicit escalation path (route to human) for ambiguous or high-value cases. This is the part most entrants will skip or bolt on late — don’t.</w:t>
      </w:r>
    </w:p>
    <w:p>
      <w:pPr>
        <w:spacing w:after="160" w:line="300"/>
      </w:pPr>
      <w:r>
        <w:rPr>
          <w:b/>
          <w:bCs/>
        </w:rPr>
        <w:t xml:space="preserve">Days 10-11 — Batch evaluation.</w:t>
      </w:r>
      <w:r>
        <w:t xml:space="preserve"> Run the full batch through the system, compute recovery rate and ₹ recovered, and — critically — write down the cases it got wrong or correctly refused to act on. This becomes your “honest metrics” section.</w:t>
      </w:r>
    </w:p>
    <w:p>
      <w:pPr>
        <w:spacing w:after="160" w:line="300"/>
      </w:pPr>
      <w:r>
        <w:rPr>
          <w:b/>
          <w:bCs/>
        </w:rPr>
        <w:t xml:space="preserve">Days 12-13 — Docs + video.</w:t>
      </w:r>
      <w:r>
        <w:t xml:space="preserve"> Architecture doc: system diagram, data flow, guardrail design, and the batch results table. 5-minute video: walk one real scenario end-to-end (detection → decision → action → recovered payment), then show the audit trail, then show the one failure case handled gracefully. Don’t do a feature tour.</w:t>
      </w:r>
    </w:p>
    <w:p>
      <w:pPr>
        <w:spacing w:after="160" w:line="300"/>
      </w:pPr>
      <w:r>
        <w:rPr>
          <w:b/>
          <w:bCs/>
        </w:rPr>
        <w:t xml:space="preserve">Day 14 — Buffer.</w:t>
      </w:r>
      <w:r>
        <w:t xml:space="preserve"> Something will break in week 2. Leave the last day for it.</w:t>
      </w:r>
    </w:p>
    <w:p>
      <w:pPr>
        <w:spacing w:before="300"/>
      </w:pPr>
    </w:p>
    <w:p>
      <w:pPr>
        <w:spacing w:after="160" w:line="280"/>
      </w:pPr>
      <w:r>
        <w:rPr>
          <w:i/>
          <w:iCs/>
          <w:color w:val="555555"/>
        </w:rPr>
        <w:t xml:space="preserve">This report is saved to the Razorpay project so it’s available across future sessions on this build.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yr_raxngq8fqlohueoiy" Type="http://schemas.openxmlformats.org/officeDocument/2006/relationships/hyperlink" Target="https://razorpay.com/buildathon/"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2026-08-21T06:33:29.846Z</dcterms:created>
  <dcterms:modified xsi:type="dcterms:W3CDTF">2026-08-21T06:33:29.870Z</dcterms:modified>
</cp:coreProperties>
</file>

<file path=docProps/custom.xml><?xml version="1.0" encoding="utf-8"?>
<Properties xmlns="http://schemas.openxmlformats.org/officeDocument/2006/custom-properties" xmlns:vt="http://schemas.openxmlformats.org/officeDocument/2006/docPropsVTypes"/>
</file>