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Authors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3"/>
      </w:pPr>
      <w:r>
        <w:t xml:space="preserve">Keywords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How to insert single</w:t>
      </w:r>
      <w:r>
        <w:t xml:space="preserve"> </w:t>
      </w:r>
      <w:r>
        <w:t xml:space="preserve">(Dozmorov et al., 2016)</w:t>
      </w:r>
      <w:r>
        <w:t xml:space="preserve">(Glass and Dozmorov, 2016)</w:t>
      </w:r>
      <w:r>
        <w:t xml:space="preserve"> </w:t>
      </w:r>
      <w:r>
        <w:t xml:space="preserve">or multiple references</w:t>
      </w:r>
      <w:r>
        <w:t xml:space="preserve"> </w:t>
      </w:r>
      <w:r>
        <w:t xml:space="preserve">(Dozmorov et al., 2016; Glass and Dozmorov, 2016)</w:t>
      </w:r>
      <w:r>
        <w:t xml:space="preserve">.</w:t>
      </w:r>
    </w:p>
    <w:tbl>
      <w:tblPr>
        <w:tblStyle w:val="Table"/>
        <w:tblW w:type="pct" w:w="556"/>
        <w:tblLook w:firstRow="0" w:lastRow="0" w:firstColumn="0" w:lastColumn="0" w:noHBand="0" w:noVBand="0" w:val="0000"/>
      </w:tblPr>
      <w:tblGrid>
        <w:gridCol w:w="88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943600" cy="4469067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figures/chicke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69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Cs/>
                <w:b/>
              </w:rPr>
              <w:t xml:space="preserve">Figure 1. How to insert a figure.</w:t>
            </w:r>
            <w:r>
              <w:t xml:space="preserve"> </w:t>
            </w:r>
            <w:r>
              <w:t xml:space="preserve">Chicken chicken chicken.</w:t>
            </w:r>
          </w:p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abbreviations"/>
    <w:p>
      <w:pPr>
        <w:pStyle w:val="Heading1"/>
      </w:pPr>
      <w:r>
        <w:t xml:space="preserve">Abbreviations</w:t>
      </w:r>
    </w:p>
    <w:bookmarkEnd w:id="27"/>
    <w:bookmarkStart w:id="28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rPr>
          <w:iCs/>
          <w:i/>
        </w:rPr>
        <w:t xml:space="preserve">Conflict of Interest.</w:t>
      </w:r>
      <w:r>
        <w:t xml:space="preserve"> </w:t>
      </w:r>
      <w:r>
        <w:t xml:space="preserve">None.</w:t>
      </w:r>
    </w:p>
    <w:bookmarkEnd w:id="28"/>
    <w:bookmarkStart w:id="29" w:name="funding"/>
    <w:p>
      <w:pPr>
        <w:pStyle w:val="Heading1"/>
      </w:pPr>
      <w:r>
        <w:t xml:space="preserve">Funding</w:t>
      </w:r>
    </w:p>
    <w:bookmarkEnd w:id="29"/>
    <w:bookmarkStart w:id="30" w:name="tables"/>
    <w:p>
      <w:pPr>
        <w:pStyle w:val="Heading1"/>
      </w:pPr>
      <w:r>
        <w:t xml:space="preserve">Tables</w:t>
      </w:r>
    </w:p>
    <w:bookmarkEnd w:id="30"/>
    <w:bookmarkStart w:id="31" w:name="figure-legends"/>
    <w:p>
      <w:pPr>
        <w:pStyle w:val="Heading1"/>
      </w:pPr>
      <w:r>
        <w:t xml:space="preserve">Figure legends</w:t>
      </w:r>
    </w:p>
    <w:bookmarkEnd w:id="31"/>
    <w:bookmarkStart w:id="32" w:name="supplementary-material"/>
    <w:p>
      <w:pPr>
        <w:pStyle w:val="Heading1"/>
      </w:pPr>
      <w:r>
        <w:t xml:space="preserve">Supplementary material</w:t>
      </w:r>
    </w:p>
    <w:bookmarkEnd w:id="32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4" w:name="ref-Dozmorov:2016aa"/>
    <w:p>
      <w:pPr>
        <w:pStyle w:val="Bibliography"/>
      </w:pPr>
      <w:r>
        <w:t xml:space="preserve">Dozmorov, M.G., Cara, L.R., Giles, C.B., and Wren, J.D. (2016). GenomeRunner web server: Regulatory similarity and differences define the functional impact of SNP sets. Bioinformatics</w:t>
      </w:r>
      <w:r>
        <w:t xml:space="preserve"> </w:t>
      </w:r>
      <w:r>
        <w:rPr>
          <w:iCs/>
          <w:i/>
        </w:rPr>
        <w:t xml:space="preserve">32</w:t>
      </w:r>
      <w:r>
        <w:t xml:space="preserve">, 2256–2263.</w:t>
      </w:r>
      <w:r>
        <w:t xml:space="preserve"> </w:t>
      </w:r>
      <w:hyperlink r:id="rId33">
        <w:r>
          <w:rPr>
            <w:rStyle w:val="Hyperlink"/>
          </w:rPr>
          <w:t xml:space="preserve">https://doi.org/10.1093/bioinformatics/btw169</w:t>
        </w:r>
      </w:hyperlink>
      <w:r>
        <w:t xml:space="preserve">.</w:t>
      </w:r>
    </w:p>
    <w:bookmarkEnd w:id="34"/>
    <w:bookmarkStart w:id="36" w:name="ref-Glass:2016aa"/>
    <w:p>
      <w:pPr>
        <w:pStyle w:val="Bibliography"/>
      </w:pPr>
      <w:r>
        <w:t xml:space="preserve">Glass, E.R., and Dozmorov, M.G. (2016). Improving sensitivity of linear regression-based cell type-specific differential expression deconvolution with per-gene vs. Global significance threshold. BMC Bioinformatics</w:t>
      </w:r>
      <w:r>
        <w:t xml:space="preserve"> </w:t>
      </w:r>
      <w:r>
        <w:rPr>
          <w:iCs/>
          <w:i/>
        </w:rPr>
        <w:t xml:space="preserve">17</w:t>
      </w:r>
      <w:r>
        <w:t xml:space="preserve">, 334.</w:t>
      </w:r>
      <w:r>
        <w:t xml:space="preserve"> </w:t>
      </w:r>
      <w:hyperlink r:id="rId35">
        <w:r>
          <w:rPr>
            <w:rStyle w:val="Hyperlink"/>
          </w:rPr>
          <w:t xml:space="preserve">https://doi.org/10.1186/s12859-016-1226-z</w:t>
        </w:r>
      </w:hyperlink>
      <w:r>
        <w:t xml:space="preserve">.</w:t>
      </w:r>
    </w:p>
    <w:bookmarkEnd w:id="36"/>
    <w:bookmarkEnd w:id="37"/>
    <w:bookmarkEnd w:id="38"/>
    <w:sectPr w:rsidR="000564E3" w:rsidRPr="0092220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C669EF6A"/>
    <w:multiLevelType w:val="multilevel"/>
    <w:tmpl w:val="E04AF6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1F4C20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4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5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6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7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40855309" w:numId="1">
    <w:abstractNumId w:val="1"/>
  </w:num>
  <w:num w16cid:durableId="404761645" w:numId="2">
    <w:abstractNumId w:val="0"/>
  </w:num>
  <w:num w16cid:durableId="1347058902" w:numId="3">
    <w:abstractNumId w:val="2"/>
  </w:num>
  <w:num w16cid:durableId="278413077" w:numId="4">
    <w:abstractNumId w:val="3"/>
  </w:num>
  <w:num w16cid:durableId="1125277149" w:numId="5">
    <w:abstractNumId w:val="4"/>
  </w:num>
  <w:num w16cid:durableId="313681744" w:numId="6">
    <w:abstractNumId w:val="5"/>
  </w:num>
  <w:num w16cid:durableId="1477260617" w:numId="7">
    <w:abstractNumId w:val="6"/>
  </w:num>
  <w:num w16cid:durableId="1536194066" w:numId="8">
    <w:abstractNumId w:val="11"/>
  </w:num>
  <w:num w16cid:durableId="2061786251" w:numId="9">
    <w:abstractNumId w:val="7"/>
  </w:num>
  <w:num w16cid:durableId="371733200" w:numId="10">
    <w:abstractNumId w:val="8"/>
  </w:num>
  <w:num w16cid:durableId="1985311841" w:numId="11">
    <w:abstractNumId w:val="9"/>
  </w:num>
  <w:num w16cid:durableId="341933185" w:numId="12">
    <w:abstractNumId w:val="10"/>
  </w:num>
  <w:num w16cid:durableId="367493069" w:numId="13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33"/>
  <w:embedSystemFonts/>
  <w:proofState w:grammar="clean" w:spelling="clean"/>
  <w:doNotTrackMoves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5D112E"/>
    <w:pPr>
      <w:jc w:val="both"/>
    </w:pPr>
    <w:rPr>
      <w:rFonts w:ascii="Arial" w:hAnsi="Arial"/>
      <w:sz w:val="20"/>
    </w:rPr>
  </w:style>
  <w:style w:styleId="Heading1" w:type="paragraph">
    <w:name w:val="heading 1"/>
    <w:basedOn w:val="Normal"/>
    <w:next w:val="BodyText"/>
    <w:uiPriority w:val="9"/>
    <w:qFormat/>
    <w:rsid w:val="005D112E"/>
    <w:pPr>
      <w:keepNext/>
      <w:keepLines/>
      <w:spacing w:after="0" w:before="480"/>
      <w:jc w:val="left"/>
      <w:outlineLvl w:val="0"/>
    </w:pPr>
    <w:rPr>
      <w:rFonts w:cstheme="majorBidi" w:eastAsiaTheme="majorEastAsia"/>
      <w:b/>
      <w:bCs/>
      <w:color w:themeColor="text1" w:val="000000"/>
      <w:sz w:val="2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D112E"/>
    <w:pPr>
      <w:keepNext/>
      <w:keepLines/>
      <w:spacing w:after="0" w:before="200"/>
      <w:jc w:val="left"/>
      <w:outlineLvl w:val="1"/>
    </w:pPr>
    <w:rPr>
      <w:rFonts w:cstheme="majorBidi" w:eastAsiaTheme="majorEastAsia"/>
      <w:b/>
      <w:bCs/>
      <w:color w:themeColor="text1" w:val="000000"/>
      <w:sz w:val="21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D112E"/>
    <w:pPr>
      <w:keepNext/>
      <w:keepLines/>
      <w:spacing w:after="0" w:before="200"/>
      <w:jc w:val="left"/>
      <w:outlineLvl w:val="2"/>
    </w:pPr>
    <w:rPr>
      <w:rFonts w:cstheme="majorBidi" w:eastAsiaTheme="majorEastAsia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3BE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Normal"/>
    <w:link w:val="MessageHeaderChar"/>
    <w:unhideWhenUsed/>
    <w:rsid w:val="00CD695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080" w:left="1080"/>
    </w:pPr>
    <w:rPr>
      <w:rFonts w:asciiTheme="majorHAnsi" w:cstheme="majorBidi" w:eastAsiaTheme="majorEastAsia" w:hAnsiTheme="majorHAnsi"/>
    </w:rPr>
  </w:style>
  <w:style w:customStyle="1" w:styleId="BodyTextChar" w:type="character">
    <w:name w:val="Body Text Char"/>
    <w:basedOn w:val="DefaultParagraphFont"/>
    <w:link w:val="BodyText"/>
    <w:rsid w:val="00CD695D"/>
  </w:style>
  <w:style w:customStyle="1" w:styleId="MessageHeaderChar" w:type="character">
    <w:name w:val="Message Header Char"/>
    <w:basedOn w:val="DefaultParagraphFont"/>
    <w:link w:val="MessageHeader"/>
    <w:rsid w:val="00CD695D"/>
    <w:rPr>
      <w:rFonts w:asciiTheme="majorHAnsi" w:cstheme="majorBidi" w:eastAsiaTheme="majorEastAsia" w:hAnsiTheme="majorHAnsi"/>
      <w:shd w:color="auto" w:fill="auto" w:val="pct20"/>
    </w:rPr>
  </w:style>
  <w:style w:styleId="NoSpacing" w:type="paragraph">
    <w:name w:val="No Spacing"/>
    <w:rsid w:val="00CD695D"/>
    <w:pPr>
      <w:spacing w:after="0"/>
    </w:pPr>
  </w:style>
  <w:style w:styleId="Header" w:type="paragraph">
    <w:name w:val="header"/>
    <w:basedOn w:val="Normal"/>
    <w:link w:val="HeaderChar"/>
    <w:unhideWhenUsed/>
    <w:rsid w:val="00CD695D"/>
  </w:style>
  <w:style w:customStyle="1" w:styleId="HeaderChar" w:type="characte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s://doi.org/10.1093/bioinformatics/btw169" TargetMode="External" /><Relationship Type="http://schemas.openxmlformats.org/officeDocument/2006/relationships/hyperlink" Id="rId35" Target="https://doi.org/10.1186/s12859-016-1226-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93/bioinformatics/btw169" TargetMode="External" /><Relationship Type="http://schemas.openxmlformats.org/officeDocument/2006/relationships/hyperlink" Id="rId35" Target="https://doi.org/10.1186/s12859-016-1226-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482</Characters>
  <Application>Microsoft Office Word</Application>
  <DocSecurity>0</DocSecurity>
  <Lines>6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2022-04-27T11:28:41Z</dcterms:created>
  <dcterms:modified xsi:type="dcterms:W3CDTF">2022-04-27T11:28:41Z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/Users/mdozmorov/Documents/Work/presentations/Templates/manuscript_template/references/references_MD.bib</vt:lpwstr>
  </property>
  <property fmtid="{D5CDD505-2E9C-101B-9397-08002B2CF9AE}" pid="3" name="csl">
    <vt:lpwstr>/Users/mdozmorov/Documents/Work/presentations/Templates/manuscript_template/styles.ref/cell-reports.csl</vt:lpwstr>
  </property>
  <property fmtid="{D5CDD505-2E9C-101B-9397-08002B2CF9AE}" pid="4" name="output">
    <vt:lpwstr/>
  </property>
</Properties>
</file>