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84E42" w14:textId="77777777" w:rsidR="00864660" w:rsidRDefault="00000000">
      <w:r>
        <w:rPr>
          <w:noProof/>
        </w:rPr>
        <mc:AlternateContent>
          <mc:Choice Requires="wps">
            <w:drawing>
              <wp:anchor distT="0" distB="0" distL="114300" distR="114300" simplePos="0" relativeHeight="251657216" behindDoc="0" locked="0" layoutInCell="1" allowOverlap="1" wp14:anchorId="7CEFFD0F" wp14:editId="1DCC35FE">
                <wp:simplePos x="0" y="0"/>
                <wp:positionH relativeFrom="page">
                  <wp:posOffset>200000</wp:posOffset>
                </wp:positionH>
                <wp:positionV relativeFrom="page">
                  <wp:posOffset>900000</wp:posOffset>
                </wp:positionV>
                <wp:extent cx="7000000" cy="1000000"/>
                <wp:effectExtent l="0" t="0" r="0" b="0"/>
                <wp:wrapSquare wrapText="bothSides"/>
                <wp:docPr id="1" name="Text Box"/>
                <wp:cNvGraphicFramePr/>
                <a:graphic xmlns:a="http://schemas.openxmlformats.org/drawingml/2006/main">
                  <a:graphicData uri="http://schemas.microsoft.com/office/word/2010/wordprocessingShape">
                    <wps:wsp>
                      <wps:cNvSpPr txBox="1"/>
                      <wps:spPr>
                        <a:xfrm>
                          <a:off x="0" y="0"/>
                          <a:ext cx="7000000" cy="1000000"/>
                        </a:xfrm>
                        <a:prstGeom prst="rect">
                          <a:avLst/>
                        </a:prstGeom>
                      </wps:spPr>
                      <wps:txb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wps:txbx>
                      <wps:bodyPr/>
                    </wps:wsp>
                  </a:graphicData>
                </a:graphic>
              </wp:anchor>
            </w:drawing>
          </mc:Choice>
          <mc:Fallback>
            <w:pict>
              <v:shapetype w14:anchorId="7CEFFD0F" id="_x0000_t202" coordsize="21600,21600" o:spt="202" path="m,l,21600r21600,l21600,xe">
                <v:stroke joinstyle="miter"/>
                <v:path gradientshapeok="t" o:connecttype="rect"/>
              </v:shapetype>
              <v:shape id="Text Box" o:spid="_x0000_s1026" type="#_x0000_t202" style="position:absolute;margin-left:15.75pt;margin-top:70.85pt;width:551.2pt;height:78.7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" filled="f" stroked="f">
                <v:textbo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E400965" wp14:editId="39B54368">
                <wp:simplePos x="0" y="0"/>
                <wp:positionH relativeFrom="page">
                  <wp:posOffset>6000000</wp:posOffset>
                </wp:positionH>
                <wp:positionV relativeFrom="page">
                  <wp:posOffset>180000</wp:posOffset>
                </wp:positionV>
                <wp:extent cx="1400000" cy="500000"/>
                <wp:effectExtent l="0" t="0" r="0" b="0"/>
                <wp:wrapSquare wrapText="bothSides"/>
                <wp:docPr id="2" name="Text Box"/>
                <wp:cNvGraphicFramePr/>
                <a:graphic xmlns:a="http://schemas.openxmlformats.org/drawingml/2006/main">
                  <a:graphicData uri="http://schemas.microsoft.com/office/word/2010/wordprocessingShape">
                    <wps:wsp>
                      <wps:cNvSpPr txBox="1"/>
                      <wps:spPr>
                        <a:xfrm>
                          <a:off x="0" y="0"/>
                          <a:ext cx="1400000" cy="500000"/>
                        </a:xfrm>
                        <a:prstGeom prst="rect">
                          <a:avLst/>
                        </a:prstGeom>
                      </wps:spPr>
                      <wps:txb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wps:txbx>
                      <wps:bodyPr/>
                    </wps:wsp>
                  </a:graphicData>
                </a:graphic>
              </wp:anchor>
            </w:drawing>
          </mc:Choice>
          <mc:Fallback>
            <w:pict>
              <v:shape w14:anchorId="3E400965" id="_x0000_s1027" type="#_x0000_t202" style="position:absolute;margin-left:472.45pt;margin-top:14.15pt;width:110.25pt;height:39.3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" filled="f" stroked="f">
                <v:textbo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v:textbox>
                <w10:wrap type="square" anchorx="page" anchory="page"/>
              </v:shape>
            </w:pict>
          </mc:Fallback>
        </mc:AlternateContent>
      </w:r>
      <w:pPr>
        <w:spacing w:after="0"/>
      </w:pPr>
    </w:p>
    <w:tbl>
      <w:tblPr>
        <w:tblW w:w="11327" w:type="dxa"/>
        <w:tblLook w:val="04A0" w:firstRow="1" w:lastRow="0" w:firstColumn="1" w:lastColumn="0" w:noHBand="0" w:noVBand="1"/>
      </w:tblPr>
      <w:tblGrid>
        <w:gridCol w:w="1003"/>
        <w:gridCol w:w="1831"/>
        <w:gridCol w:w="1003"/>
        <w:gridCol w:w="1820"/>
        <w:gridCol w:w="1003"/>
        <w:gridCol w:w="1832"/>
        <w:gridCol w:w="1003"/>
        <w:gridCol w:w="1832"/>
      </w:tblGrid>
      <w:tr w:rsidR="00864660" w14:paraId="24F7F10B" w14:textId="77777777">
        <w:tc>
          <w:tcPr>
            <w:tcW w:w="943" w:type="dxa"/>
            <w:shd w:val="clear" w:color="auto" w:fill="F2F2F2"/>
            <w:tcMar>
              <w:top w:w="300" w:type="dxa"/>
              <w:bottom w:w="300" w:type="dxa"/>
            </w:tcMar>
            <w:vAlign w:val="center"/>
          </w:tcPr>
          <w:p w14:paraId="22F341DD" w14:textId="77777777" w:rsidR="00864660" w:rsidRDefault="00000000">
            <w:r>
              <w:rPr>
                <w:b/>
                <w:noProof/>
              </w:rPr>
              <w:drawing>
                <wp:inline distT="0" distB="0" distL="0" distR="0" wp14:anchorId="79E7ACD7" wp14:editId="47DEBFEC">
                  <wp:extent cx="500000" cy="500000"/>
                  <wp:effectExtent l="0" t="0" r="0" b="0"/>
                  <wp:docPr id="3" name="Image"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descr="Calendar"/>
                          <pic:cNvPicPr/>
                        </pic:nvPicPr>
                        <pic:blipFill>
                          <a:blip r:embed="rId7"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69328C48" w14:textId="77777777" w:rsidR="00864660" w:rsidRDefault="00000000">
            <w:pPr>
              <w:spacing w:before="10" w:after="0"/>
              <w:rPr>
                <w:b/>
              </w:rPr>
            </w:pPr>
            <w:r>
              <w:rPr>
                <w:b/>
                <w:color w:val="0079C1"/>
              </w:rPr>
              <w:t xml:space="preserve">7 </w:t>
            </w:r>
            <w:r>
              <w:rPr>
                <w:b/>
              </w:rPr>
              <w:t xml:space="preserve">- Année </w:t>
            </w:r>
          </w:p>
          <w:p w14:paraId="533C8D8E" w14:textId="77777777" w:rsidR="00864660" w:rsidRDefault="00000000">
            <w:pPr>
              <w:spacing w:before="10" w:after="0"/>
              <w:rPr>
                <w:i/>
                <w:sz w:val="18"/>
              </w:rPr>
            </w:pPr>
            <w:r>
              <w:rPr>
                <w:i/>
                <w:sz w:val="18"/>
              </w:rPr>
              <w:t xml:space="preserve">Sous réserve que les billets soient automatiquement appelés par la Banque de Montréal </w:t>
            </w:r>
          </w:p>
        </w:tc>
        <w:tc>
          <w:tcPr>
            <w:tcW w:w="943" w:type="dxa"/>
            <w:shd w:val="clear" w:color="auto" w:fill="F2F2F2"/>
            <w:tcMar>
              <w:top w:w="300" w:type="dxa"/>
              <w:bottom w:w="300" w:type="dxa"/>
            </w:tcMar>
            <w:vAlign w:val="center"/>
          </w:tcPr>
          <w:p w14:paraId="550F73E6" w14:textId="77777777" w:rsidR="00864660" w:rsidRDefault="00000000">
            <w:r>
              <w:rPr>
                <w:b/>
                <w:noProof/>
              </w:rPr>
              <w:drawing>
                <wp:inline distT="0" distB="0" distL="0" distR="0" wp14:anchorId="4775987A" wp14:editId="05674EB3">
                  <wp:extent cx="500000" cy="500000"/>
                  <wp:effectExtent l="0" t="0" r="0" b="0"/>
                  <wp:docPr id="4" name="Image" descr="Ticked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descr="Ticked Calendar"/>
                          <pic:cNvPicPr/>
                        </pic:nvPicPr>
                        <pic:blipFill>
                          <a:blip r:embed="rId8"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CDE2D4C" w14:textId="77777777" w:rsidR="00864660" w:rsidRDefault="00000000">
            <w:pPr>
              <w:spacing w:before="10" w:after="0"/>
              <w:rPr>
                <w:b/>
              </w:rPr>
            </w:pPr>
            <w:r>
              <w:rPr>
                <w:b/>
                <w:color w:val="0079C1"/>
              </w:rPr>
              <w:t xml:space="preserve">Mensuel </w:t>
            </w:r>
            <w:r>
              <w:rPr>
                <w:b/>
              </w:rPr>
              <w:t xml:space="preserve">Fonction d'appel </w:t>
            </w:r>
          </w:p>
          <w:p w14:paraId="027CA849" w14:textId="77777777" w:rsidR="00864660" w:rsidRDefault="00000000">
            <w:pPr>
              <w:spacing w:before="10" w:after="0"/>
              <w:rPr>
                <w:i/>
                <w:sz w:val="18"/>
              </w:rPr>
            </w:pPr>
            <w:r>
              <w:rPr>
                <w:i/>
                <w:sz w:val="18"/>
              </w:rPr>
              <w:t xml:space="preserve">* commençant après les 5 </w:t>
            </w:r>
            <w:r>
              <w:rPr>
                <w:i/>
                <w:sz w:val="18"/>
                <w:vertAlign w:val="superscript"/>
              </w:rPr>
              <w:t xml:space="preserve">e </w:t>
            </w:r>
            <w:r>
              <w:rPr>
                <w:i/>
                <w:sz w:val="18"/>
              </w:rPr>
              <w:t xml:space="preserve">date d'observation </w:t>
            </w:r>
          </w:p>
        </w:tc>
        <w:tc>
          <w:tcPr>
            <w:tcW w:w="943" w:type="dxa"/>
            <w:shd w:val="clear" w:color="auto" w:fill="F2F2F2"/>
            <w:tcMar>
              <w:top w:w="300" w:type="dxa"/>
              <w:bottom w:w="300" w:type="dxa"/>
            </w:tcMar>
            <w:vAlign w:val="center"/>
          </w:tcPr>
          <w:p w14:paraId="0350ACAC" w14:textId="77777777" w:rsidR="00864660" w:rsidRDefault="00000000">
            <w:r>
              <w:rPr>
                <w:b/>
                <w:noProof/>
              </w:rPr>
              <w:drawing>
                <wp:inline distT="0" distB="0" distL="0" distR="0" wp14:anchorId="6742DC5A" wp14:editId="0B0C52CC">
                  <wp:extent cx="500000" cy="500000"/>
                  <wp:effectExtent l="0" t="0" r="0" b="0"/>
                  <wp:docPr id="5" name="Image" descr="Grap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descr="Graph icon"/>
                          <pic:cNvPicPr/>
                        </pic:nvPicPr>
                        <pic:blipFill>
                          <a:blip r:embed="rId9"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8FD0626" w14:textId="77777777" w:rsidR="00864660" w:rsidRDefault="00000000">
            <w:pPr>
              <w:spacing w:before="10" w:after="0"/>
              <w:rPr>
                <w:b/>
              </w:rPr>
            </w:pPr>
            <w:r>
              <w:rPr>
                <w:b/>
                <w:color w:val="0079C1"/>
              </w:rPr>
              <w:t xml:space="preserve">7,44 % par an </w:t>
            </w:r>
            <w:r>
              <w:rPr>
                <w:b/>
              </w:rPr>
              <w:t xml:space="preserve">Coupon éventuel payé Mensuel </w:t>
            </w:r>
          </w:p>
        </w:tc>
        <w:tc>
          <w:tcPr>
            <w:tcW w:w="943" w:type="dxa"/>
            <w:shd w:val="clear" w:color="auto" w:fill="F2F2F2"/>
            <w:tcMar>
              <w:top w:w="300" w:type="dxa"/>
              <w:bottom w:w="300" w:type="dxa"/>
            </w:tcMar>
            <w:vAlign w:val="center"/>
          </w:tcPr>
          <w:p w14:paraId="2DE1AB1B" w14:textId="77777777" w:rsidR="00864660" w:rsidRDefault="00000000">
            <w:r>
              <w:rPr>
                <w:b/>
                <w:noProof/>
              </w:rPr>
              <w:drawing>
                <wp:inline distT="0" distB="0" distL="0" distR="0" wp14:anchorId="72D11760" wp14:editId="5A7AB1B6">
                  <wp:extent cx="500000" cy="500000"/>
                  <wp:effectExtent l="0" t="0" r="0" b="0"/>
                  <wp:docPr id="6" name="Image" descr="P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descr="Padlock"/>
                          <pic:cNvPicPr/>
                        </pic:nvPicPr>
                        <pic:blipFill>
                          <a:blip r:embed="rId10" cstate="print"/>
                          <a:stretch>
                            <a:fillRect/>
                          </a:stretch>
                        </pic:blipFill>
                        <pic:spPr>
                          <a:xfrm>
                            <a:off x="0" y="0"/>
                            <a:ext cx="500000" cy="500000"/>
                          </a:xfrm>
                          <a:prstGeom prst="rect">
                            <a:avLst/>
                          </a:prstGeom>
                        </pic:spPr>
                      </pic:pic>
                    </a:graphicData>
                  </a:graphic>
                </wp:inline>
              </w:drawing>
            </w:r>
            <w:pPr>
              <w:spacing w:before="10" w:after="0"/>
              <w:jc w:val="right"/>
              <w:rPr>
                <w:b/>
              </w:rPr>
            </w:pPr>
          </w:p>
        </w:tc>
        <w:tc>
          <w:tcPr>
            <w:tcW w:w="1887" w:type="dxa"/>
            <w:shd w:val="clear" w:color="auto" w:fill="F2F2F2"/>
            <w:tcMar>
              <w:top w:w="300" w:type="dxa"/>
              <w:bottom w:w="300" w:type="dxa"/>
            </w:tcMar>
            <w:vAlign w:val="center"/>
          </w:tcPr>
          <w:p w14:paraId="456DEBB2" w14:textId="77777777" w:rsidR="00864660" w:rsidRDefault="00000000">
            <w:pPr>
              <w:spacing w:before="10" w:after="0"/>
              <w:rPr>
                <w:b/>
              </w:rPr>
            </w:pPr>
            <w:r>
              <w:rPr>
                <w:b/>
                <w:color w:val="0079C1"/>
              </w:rPr>
              <w:t xml:space="preserve">20% </w:t>
            </w:r>
            <w:r>
              <w:rPr>
                <w:b/>
              </w:rPr>
              <w:t xml:space="preserve">Protection des contingents à l ' échéance </w:t>
            </w:r>
          </w:p>
        </w:tc>
      </w:tr>
    </w:tbl>
    <w:p w14:paraId="3F255FAE" w14:textId="77777777" w:rsidR="00864660" w:rsidRDefault="00864660">
      <w:pPr>
        <w:sectPr w:rsidR="00864660">
          <w:headerReference w:type="default" r:id="rId11"/>
          <w:footerReference w:type="default" r:id="rId12"/>
          <w:pgSz w:w="11906" w:h="16838"/>
          <w:pgMar w:top="720" w:right="285" w:bottom="140" w:left="285" w:header="200" w:footer="708" w:gutter="0"/>
          <w:cols w:space="708"/>
          <w:docGrid w:linePitch="360"/>
        </w:sectPr>
      </w:pPr>
    </w:p>
    <w:p w14:paraId="17D47AC4" w14:textId="77777777" w:rsidR="00864660" w:rsidRDefault="00000000">
      <w:pPr>
        <w:pStyle w:val="IBSubtitle"/>
        <w:outlineLvl w:val="2"/>
      </w:pPr>
      <w:r>
        <w:t xml:space="preserve">Faits marquants de l'investissement </w:t>
      </w:r>
    </w:p>
    <w:p w14:paraId="4D7681E7" w14:textId="77777777" w:rsidR="00864660" w:rsidRDefault="00000000">
      <w:pPr>
        <w:pStyle w:val="InvestmentHighlights"/>
      </w:pPr>
      <w:r>
        <w:t xml:space="preserve">Les billets offerts par le supplément de prix sont des titres de créance non garantis émis par la Banque de Montréal. L'objectif des notes est d'offrir aux investisseurs un flux de revenus par le biais de paiements périodiques potentiels de coupons, avec une protection contre la perte de leur investissement principal par rapport à tout rendement négatif dépassant le seuil de l'indice Solactive Equal Weight Canada Bank 27 AR pendant la durée des notes. </w:t>
      </w:r>
      <w:r>
        <w:rPr>
          <w:b/>
        </w:rPr>
        <w:t xml:space="preserve">Le principal n'est PAS entièrement protégé en vertu des notes. </w:t>
      </w:r>
    </w:p>
    <w:p w14:paraId="56624672" w14:textId="77777777" w:rsidR="00864660" w:rsidRDefault="00000000">
      <w:pPr>
        <w:pStyle w:val="InvestmentHighlights"/>
        <w:numPr>
          <w:ilvl w:val="1"/>
          <w:numId w:val="2"/>
        </w:numPr>
        <w:ind w:left="426"/>
      </w:pPr>
      <w:r>
        <w:rPr>
          <w:b/>
        </w:rPr>
        <w:t xml:space="preserve">Coupon éventuel : </w:t>
      </w:r>
      <w:r>
        <w:t xml:space="preserve">0,62 % par mois (soit 7,44 % par an) à condition que le niveau de clôture soit égal ou supérieur au niveau de paiement des coupons. </w:t>
      </w:r>
    </w:p>
    <w:p w14:paraId="133560DA" w14:textId="77777777" w:rsidR="00864660" w:rsidRDefault="00000000">
      <w:pPr>
        <w:pStyle w:val="InvestmentHighlights"/>
        <w:numPr>
          <w:ilvl w:val="1"/>
          <w:numId w:val="2"/>
        </w:numPr>
        <w:ind w:left="426"/>
      </w:pPr>
      <w:r>
        <w:rPr>
          <w:b/>
        </w:rPr>
        <w:t xml:space="preserve">Niveau de paiement du coupon: </w:t>
      </w:r>
      <w:r>
        <w:t xml:space="preserve">80.00% du niveau initial. </w:t>
      </w:r>
    </w:p>
    <w:p w14:paraId="01D15215" w14:textId="77777777" w:rsidR="00864660" w:rsidRDefault="00000000">
      <w:pPr>
        <w:pStyle w:val="InvestmentHighlights"/>
        <w:numPr>
          <w:ilvl w:val="1"/>
          <w:numId w:val="2"/>
        </w:numPr>
        <w:ind w:left="426"/>
      </w:pPr>
      <w:r>
        <w:rPr>
          <w:b/>
        </w:rPr>
        <w:t xml:space="preserve">Appel automatique : </w:t>
      </w:r>
      <w:r>
        <w:t xml:space="preserve">Rédemption anticipée automatique au pair plus tout paiement de coupon final si le niveau de clôture est au-dessus du niveau d'appel automatique à toute date d'observation d'appel automatique. Les notes ne peuvent pas être appelées automatiquement avant la sixième date d'observation. </w:t>
      </w:r>
    </w:p>
    <w:p w14:paraId="56469CA9" w14:textId="77777777" w:rsidR="00864660" w:rsidRDefault="00000000">
      <w:pPr>
        <w:pStyle w:val="InvestmentHighlights"/>
        <w:numPr>
          <w:ilvl w:val="1"/>
          <w:numId w:val="2"/>
        </w:numPr>
        <w:ind w:left="426"/>
      </w:pPr>
      <w:r>
        <w:rPr>
          <w:b/>
        </w:rPr>
        <w:t xml:space="preserve">Niveau d'appel automatique: </w:t>
      </w:r>
      <w:r>
        <w:t xml:space="preserve">105,00% du niveau initial. </w:t>
      </w:r>
    </w:p>
    <w:p w14:paraId="6DF4DF9A" w14:textId="77777777" w:rsidR="00864660" w:rsidRDefault="00000000">
      <w:pPr>
        <w:pStyle w:val="InvestmentHighlights"/>
        <w:numPr>
          <w:ilvl w:val="1"/>
          <w:numId w:val="2"/>
        </w:numPr>
        <w:ind w:left="426"/>
      </w:pPr>
      <w:r>
        <w:rPr>
          <w:b/>
        </w:rPr>
        <w:t xml:space="preserve">Protection des barrières: </w:t>
      </w:r>
      <w:r>
        <w:t xml:space="preserve">20,00% </w:t>
      </w:r>
    </w:p>
    <w:p w14:paraId="6633107A" w14:textId="77777777" w:rsidR="00864660" w:rsidRDefault="00000000">
      <w:pPr>
        <w:pStyle w:val="InvestmentHighlights"/>
        <w:keepNext w:val="0"/>
        <w:numPr>
          <w:ilvl w:val="1"/>
          <w:numId w:val="2"/>
        </w:numPr>
        <w:ind w:left="426"/>
      </w:pPr>
      <w:r>
        <w:rPr>
          <w:b/>
        </w:rPr>
        <w:t xml:space="preserve">Participation à la baisse: </w:t>
      </w:r>
      <w:r>
        <w:t xml:space="preserve">100.00%, sous le niveau de la barrière. </w:t>
      </w:r>
    </w:p>
    <w:p w14:paraId="7CBD1588" w14:textId="77777777" w:rsidR="00707D86" w:rsidRDefault="00707D86" w:rsidP="00707D86">
      <w:pPr>
        <w:pStyle w:val="InvestmentHighlights"/>
        <w:keepNext w:val="0"/>
        <w:ind w:left="426"/>
      </w:pPr>
    </w:p>
    <w:tbl>
      <w:tblPr>
        <w:tblStyle w:val="CoverPageTable"/>
        <w:tblW w:w="0" w:type="auto"/>
        <w:tblInd w:w="0" w:type="dxa"/>
        <w:tblLook w:val="04A0" w:firstRow="1" w:lastRow="0" w:firstColumn="1" w:lastColumn="0" w:noHBand="0" w:noVBand="1"/>
      </w:tblPr>
      <w:tblGrid>
        <w:gridCol w:w="4006"/>
        <w:gridCol w:w="1288"/>
      </w:tblGrid>
      <w:tr w:rsidR="00864660" w14:paraId="78EDB72E" w14:textId="77777777">
        <w:tc>
          <w:tcPr>
            <w:tcW w:w="9514" w:type="dxa"/>
            <w:gridSpan w:val="2"/>
          </w:tcPr>
          <w:p w14:paraId="500C0A23" w14:textId="77777777" w:rsidR="00864660" w:rsidRDefault="00000000">
            <w:pPr>
              <w:keepNext/>
              <w:spacing w:after="0"/>
              <w:jc w:val="center"/>
              <w:rPr>
                <w:b/>
                <w:color w:val="0079C1"/>
              </w:rPr>
            </w:pPr>
            <w:r>
              <w:rPr>
                <w:b/>
                <w:color w:val="0079C1"/>
              </w:rPr>
              <w:t xml:space="preserve">Portefeuille de référence </w:t>
            </w:r>
          </w:p>
        </w:tc>
      </w:tr>
      <w:tr w:rsidR="00864660" w14:paraId="4333971F" w14:textId="77777777">
        <w:tc>
          <w:tcPr>
            <w:tcW w:w="9514" w:type="dxa"/>
            <w:shd w:val="clear" w:color="auto" w:fill="C7D8EF"/>
          </w:tcPr>
          <w:p w14:paraId="52995114" w14:textId="77777777" w:rsidR="00864660" w:rsidRDefault="00000000">
            <w:pPr>
              <w:keepNext/>
              <w:spacing w:after="0"/>
              <w:rPr>
                <w:b/>
                <w:color w:val="0079C1"/>
                <w:sz w:val="20"/>
              </w:rPr>
            </w:pPr>
            <w:r>
              <w:rPr>
                <w:b/>
                <w:color w:val="0079C1"/>
                <w:sz w:val="20"/>
              </w:rPr>
              <w:t xml:space="preserve">Actifs de référence </w:t>
            </w:r>
          </w:p>
        </w:tc>
        <w:tc>
          <w:tcPr>
            <w:tcW w:w="1812" w:type="dxa"/>
            <w:shd w:val="clear" w:color="auto" w:fill="C7D8EF"/>
          </w:tcPr>
          <w:p w14:paraId="5EC83F5C" w14:textId="77777777" w:rsidR="00864660" w:rsidRDefault="00000000">
            <w:pPr>
              <w:keepNext/>
              <w:spacing w:after="0"/>
              <w:rPr>
                <w:b/>
                <w:color w:val="0079C1"/>
                <w:sz w:val="20"/>
              </w:rPr>
            </w:pPr>
            <w:r>
              <w:rPr>
                <w:b/>
                <w:color w:val="0079C1"/>
                <w:sz w:val="20"/>
              </w:rPr>
              <w:t xml:space="preserve">Symbole Ticker </w:t>
            </w:r>
          </w:p>
        </w:tc>
      </w:tr>
      <w:tr w:rsidR="00864660" w14:paraId="1A5EB089" w14:textId="77777777">
        <w:tc>
          <w:tcPr>
            <w:tcW w:w="9514" w:type="dxa"/>
            <w:vAlign w:val="top"/>
          </w:tcPr>
          <w:p w14:paraId="2D394CEA" w14:textId="77777777" w:rsidR="00864660" w:rsidRDefault="00000000">
            <w:pPr>
              <w:keepNext/>
              <w:spacing w:after="0"/>
              <w:rPr>
                <w:sz w:val="20"/>
              </w:rPr>
            </w:pPr>
            <w:r>
              <w:rPr>
                <w:sz w:val="20"/>
              </w:rPr>
              <w:t xml:space="preserve">Solactive Equal Weight Canada Bank 27 Indice AR </w:t>
            </w:r>
          </w:p>
        </w:tc>
        <w:tc>
          <w:tcPr>
            <w:tcW w:w="1812" w:type="dxa"/>
            <w:vAlign w:val="top"/>
          </w:tcPr>
          <w:p w14:paraId="0A487FE2" w14:textId="77777777" w:rsidR="00864660" w:rsidRDefault="00000000">
            <w:pPr>
              <w:keepNext/>
              <w:spacing w:after="0"/>
              <w:rPr>
                <w:sz w:val="20"/>
              </w:rPr>
            </w:pPr>
            <w:r>
              <w:rPr>
                <w:sz w:val="20"/>
              </w:rPr>
              <w:t xml:space="preserve">SOLBEW27 </w:t>
            </w:r>
          </w:p>
        </w:tc>
      </w:tr>
    </w:tbl>
    <w:p w14:paraId="3DA72A6C" w14:textId="77777777" w:rsidR="00864660" w:rsidRDefault="00000000">
      <w:pPr>
        <w:spacing w:before="40"/>
        <w:rPr>
          <w:sz w:val="16"/>
        </w:rPr>
      </w:pPr>
      <w:r>
        <w:rPr>
          <w:sz w:val="16"/>
        </w:rPr>
        <w:t xml:space="preserve">L'indice Solactive Equal Weight Canada Bank 27 AR est un indice de rendement rajusté. Il vise à suivre la performance de rendement total brut de l'indice Solactive Equal Weight Canada Banks (indice de sous-estimation) calculé en dollars canadiens, moins un facteur de rendement rajusté de 27 points d'indice par année, qui sera calculé quotidiennement en arrérages (facteur de rendement ajusté de 27 points par année). L'indice sous-jacent est un indice de capitalisation boursière libre pondéré à parts égales du stock commun des émetteurs canadiens. La méthodologie de l'indice sous-jacent prévoit que les titres constitutifs répondent aux critères suivants : principalement cotés à la Bourse de Toronto; classés par le commanditaire de l'indice comme étant des banques majeures ou des banques régionales; avoir une capitalisation boursière libre minimale de 10 milliards de dollars canadiens pour les nouveaux membres de l'indice et de 5 milliards de dollars canadiens pour les membres actuels de l'indice; avoir une valeur de négociation quotidienne moyenne minimale de 10 millions de dollars canadiens, calculée par le commanditaire de l'indice. Le niveau de clôture au 31 décembre 2024 était de 523,20. Le facteur de rendement rajusté divisé par le niveau de clôture était donc égal à 5,16 % au 31 décembre 2024. Pendant la durée des notes, la somme du facteur de rendement rajusté sera d'environ 189 points d'indice, soit 36,18 % du niveau de clôture au 31 décembre 2024. </w:t>
      </w:r>
    </w:p>
    <w:p w14:paraId="511342FB" w14:textId="77777777" w:rsidR="00864660" w:rsidRDefault="00000000">
      <w:pPr>
        <w:spacing w:before="200"/>
        <w:rPr>
          <w:sz w:val="16"/>
        </w:rPr>
      </w:pPr>
      <w:r>
        <w:rPr>
          <w:sz w:val="16"/>
        </w:rPr>
        <w:t xml:space="preserve">Le rendement des dividendes de l'indice sous-jacent au 31 décembre 2024 était de 4,9 %, ce qui représente un rendement global d'environ 28,67% sur la durée des billets (en supposant que le rendement des dividendes demeure constant et que les dividendes ne sont pas réinvestis). </w:t>
      </w:r>
    </w:p>
    <w:p w14:paraId="6AFD778A" w14:textId="77777777" w:rsidR="00864660" w:rsidRDefault="00000000">
      <w:pPr>
        <w:rPr>
          <w:sz w:val="16"/>
        </w:rPr>
      </w:pPr>
      <w:r>
        <w:rPr>
          <w:sz w:val="16"/>
        </w:rPr>
        <w:t xml:space="preserve">Un investissement dans les notes ne représente pas un investissement direct ou indirect dans l'actif de référence. Vous n'avez aucun droit ni droit aux dividendes ou aux distributions payés sur l'actif de référence. </w:t>
      </w:r>
    </w:p>
    <w:p w14:paraId="18DFD99A" w14:textId="77777777" w:rsidR="00864660" w:rsidRDefault="00864660">
      <w:pPr>
        <w:sectPr w:rsidR="00864660">
          <w:type w:val="continuous"/>
          <w:pgSz w:w="11906" w:h="16838"/>
          <w:pgMar w:top="720" w:right="285" w:bottom="140" w:left="285" w:header="200" w:footer="708" w:gutter="0"/>
          <w:cols w:num="2" w:space="708"/>
          <w:docGrid w:linePitch="360"/>
        </w:sectPr>
      </w:pPr>
    </w:p>
    <w:tbl>
      <w:tblPr>
        <w:tblStyle w:val="FirstBoldBlueTable"/>
        <w:tblW w:w="0" w:type="auto"/>
        <w:tblInd w:w="0" w:type="dxa"/>
        <w:tblLook w:val="04A0" w:firstRow="1" w:lastRow="0" w:firstColumn="1" w:lastColumn="0" w:noHBand="0" w:noVBand="1"/>
      </w:tblPr>
      <w:tblGrid>
        <w:gridCol w:w="2263"/>
        <w:gridCol w:w="9053"/>
      </w:tblGrid>
      <w:tr w:rsidR="00864660" w14:paraId="7C51423A" w14:textId="77777777" w:rsidTr="00314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6" w:type="dxa"/>
            <w:gridSpan w:val="2"/>
          </w:tcPr>
          <w:p w14:paraId="5EABB525" w14:textId="77777777" w:rsidR="00864660" w:rsidRDefault="00000000">
            <w:pPr>
              <w:pageBreakBefore/>
              <w:spacing w:after="0"/>
              <w:outlineLvl w:val="2"/>
              <w:rPr>
                <w:sz w:val="28"/>
              </w:rPr>
            </w:pPr>
            <w:r>
              <w:rPr>
                <w:sz w:val="28"/>
              </w:rPr>
              <w:t xml:space="preserve">Détails supplémentaires de l'offre </w:t>
            </w:r>
          </w:p>
        </w:tc>
      </w:tr>
      <w:tr w:rsidR="00864660" w14:paraId="6536F68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4669997" w14:textId="77777777" w:rsidR="00864660" w:rsidRDefault="00000000">
            <w:pPr>
              <w:spacing w:after="0"/>
            </w:pPr>
            <w:r>
              <w:t xml:space="preserve">Émetteur </w:t>
            </w:r>
          </w:p>
        </w:tc>
        <w:tc>
          <w:tcPr>
            <w:tcW w:w="9053" w:type="dxa"/>
          </w:tcPr>
          <w:p w14:paraId="7F1F0CB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Banque de Montréal </w:t>
            </w:r>
          </w:p>
        </w:tc>
      </w:tr>
      <w:tr w:rsidR="00864660" w14:paraId="3AABEA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89BBE29" w14:textId="77777777" w:rsidR="00864660" w:rsidRDefault="00000000">
            <w:pPr>
              <w:spacing w:after="0"/>
            </w:pPr>
            <w:r>
              <w:t xml:space="preserve">Note de l'émetteur </w:t>
            </w:r>
          </w:p>
        </w:tc>
        <w:tc>
          <w:tcPr>
            <w:tcW w:w="9053" w:type="dxa"/>
          </w:tcPr>
          <w:p w14:paraId="59DAD1B5"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Moody: Aa2; S&amp;P: A+; DBRS: AA (dépôts à long terme &gt; 1 an). </w:t>
            </w:r>
          </w:p>
        </w:tc>
      </w:tr>
      <w:tr w:rsidR="00864660" w14:paraId="0EADE5F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03E60F0" w14:textId="77777777" w:rsidR="00864660" w:rsidRDefault="00000000">
            <w:pPr>
              <w:spacing w:after="0"/>
            </w:pPr>
            <w:r>
              <w:t xml:space="preserve">Actifs de référence </w:t>
            </w:r>
          </w:p>
        </w:tc>
        <w:tc>
          <w:tcPr>
            <w:tcW w:w="9053" w:type="dxa"/>
          </w:tcPr>
          <w:p w14:paraId="2419D9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Solactive Equal Weight Canada Bank 27 Indice AR (témoins : SOLBEW27). </w:t>
            </w:r>
          </w:p>
        </w:tc>
      </w:tr>
      <w:tr w:rsidR="00864660" w14:paraId="1FF6E46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05C4BA3" w14:textId="77777777" w:rsidR="00864660" w:rsidRDefault="00000000">
            <w:pPr>
              <w:spacing w:after="0"/>
            </w:pPr>
            <w:r>
              <w:t xml:space="preserve">Monnaie des billets </w:t>
            </w:r>
          </w:p>
        </w:tc>
        <w:tc>
          <w:tcPr>
            <w:tcW w:w="9053" w:type="dxa"/>
          </w:tcPr>
          <w:p w14:paraId="2FCE7F50"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Dollar canadien (CAD). </w:t>
            </w:r>
          </w:p>
        </w:tc>
      </w:tr>
      <w:tr w:rsidR="00864660" w14:paraId="0413AAE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DA4E9B4" w14:textId="77777777" w:rsidR="00864660" w:rsidRDefault="00000000">
            <w:pPr>
              <w:spacing w:after="0"/>
            </w:pPr>
            <w:r>
              <w:t xml:space="preserve">Montant déclaré du principal </w:t>
            </w:r>
          </w:p>
        </w:tc>
        <w:tc>
          <w:tcPr>
            <w:tcW w:w="9053" w:type="dxa"/>
          </w:tcPr>
          <w:p w14:paraId="1AA697A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100 $ CA par note. </w:t>
            </w:r>
          </w:p>
        </w:tc>
      </w:tr>
      <w:tr w:rsidR="00864660" w14:paraId="62BCB37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190D264" w14:textId="77777777" w:rsidR="00864660" w:rsidRDefault="00000000">
            <w:pPr>
              <w:spacing w:after="0"/>
            </w:pPr>
            <w:r>
              <w:t xml:space="preserve">Investissement minimum </w:t>
            </w:r>
          </w:p>
        </w:tc>
        <w:tc>
          <w:tcPr>
            <w:tcW w:w="9053" w:type="dxa"/>
          </w:tcPr>
          <w:p w14:paraId="2BE3F1B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2 000 $CAN (20 notes). </w:t>
            </w:r>
          </w:p>
        </w:tc>
      </w:tr>
      <w:tr w:rsidR="00864660" w14:paraId="7314342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C3E24EC" w14:textId="77777777" w:rsidR="00864660" w:rsidRDefault="00000000">
            <w:pPr>
              <w:spacing w:after="0"/>
            </w:pPr>
            <w:r>
              <w:t xml:space="preserve">Date de publication </w:t>
            </w:r>
          </w:p>
        </w:tc>
        <w:tc>
          <w:tcPr>
            <w:tcW w:w="9053" w:type="dxa"/>
          </w:tcPr>
          <w:p w14:paraId="771B72E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ou vers le 14 février 2025. </w:t>
            </w:r>
          </w:p>
        </w:tc>
      </w:tr>
      <w:tr w:rsidR="00864660" w14:paraId="63081D3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2292F6" w14:textId="77777777" w:rsidR="00864660" w:rsidRDefault="00000000">
            <w:pPr>
              <w:spacing w:after="0"/>
            </w:pPr>
            <w:r>
              <w:t xml:space="preserve">Date d'évaluation finale </w:t>
            </w:r>
          </w:p>
        </w:tc>
        <w:tc>
          <w:tcPr>
            <w:tcW w:w="9053" w:type="dxa"/>
          </w:tcPr>
          <w:p w14:paraId="6E6CE7D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9 février 2032, sous réserve d'un report si cette date n'est pas un jour d'échange ou si un événement de perturbation du marché survient. </w:t>
            </w:r>
          </w:p>
        </w:tc>
      </w:tr>
      <w:tr w:rsidR="00864660" w14:paraId="7AB94C2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954D038" w14:textId="77777777" w:rsidR="00864660" w:rsidRDefault="00000000">
            <w:pPr>
              <w:spacing w:after="0"/>
            </w:pPr>
            <w:r>
              <w:t xml:space="preserve">Date d'échéance </w:t>
            </w:r>
          </w:p>
        </w:tc>
        <w:tc>
          <w:tcPr>
            <w:tcW w:w="9053" w:type="dxa"/>
          </w:tcPr>
          <w:p w14:paraId="55C4D20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17 février 2032, sous réserve que les notes soient automatiquement appelées par nous. </w:t>
            </w:r>
          </w:p>
        </w:tc>
      </w:tr>
      <w:tr w:rsidR="00864660" w14:paraId="6C6073E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1AB3B34" w14:textId="77777777" w:rsidR="00864660" w:rsidRDefault="00000000">
            <w:pPr>
              <w:spacing w:after="0"/>
            </w:pPr>
            <w:r>
              <w:t xml:space="preserve">Durée </w:t>
            </w:r>
          </w:p>
        </w:tc>
        <w:tc>
          <w:tcPr>
            <w:tcW w:w="9053" w:type="dxa"/>
          </w:tcPr>
          <w:p w14:paraId="110AF4D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Environ sept (7) ans. </w:t>
            </w:r>
          </w:p>
        </w:tc>
      </w:tr>
      <w:tr w:rsidR="00864660" w14:paraId="3157EB3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4AAEBF" w14:textId="77777777" w:rsidR="00864660" w:rsidRDefault="00000000">
            <w:pPr>
              <w:spacing w:after="0"/>
            </w:pPr>
            <w:r>
              <w:t xml:space="preserve">Dates d'observation et de paiement </w:t>
            </w:r>
          </w:p>
        </w:tc>
        <w:tc>
          <w:tcPr>
            <w:tcW w:w="9053" w:type="dxa"/>
          </w:tcPr>
          <w:p w14:paraId="0B1EA2C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Voir « Dates d'observation et de paiement » ci-dessous. </w:t>
            </w:r>
          </w:p>
        </w:tc>
      </w:tr>
      <w:tr w:rsidR="00864660" w14:paraId="34D60BC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4E74991" w14:textId="77777777" w:rsidR="00864660" w:rsidRDefault="00000000">
            <w:pPr>
              <w:spacing w:after="0"/>
            </w:pPr>
            <w:r>
              <w:t xml:space="preserve">Taux </w:t>
            </w:r>
          </w:p>
        </w:tc>
        <w:tc>
          <w:tcPr>
            <w:tcW w:w="9053" w:type="dxa"/>
          </w:tcPr>
          <w:p w14:paraId="07FDF61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0,62 % par mois (soit 7,44 % par an). </w:t>
            </w:r>
          </w:p>
        </w:tc>
      </w:tr>
      <w:tr w:rsidR="00864660" w14:paraId="765D51E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28F633C" w14:textId="77777777" w:rsidR="00864660" w:rsidRDefault="00000000">
            <w:pPr>
              <w:spacing w:after="0"/>
            </w:pPr>
            <w:r>
              <w:t xml:space="preserve">Montant du paiement du coupon </w:t>
            </w:r>
          </w:p>
        </w:tc>
        <w:tc>
          <w:tcPr>
            <w:tcW w:w="9053" w:type="dxa"/>
          </w:tcPr>
          <w:p w14:paraId="21DEAB4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80.00% du niveau initial. </w:t>
            </w:r>
          </w:p>
        </w:tc>
      </w:tr>
      <w:tr w:rsidR="00864660" w14:paraId="447BF73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51CE575" w14:textId="77777777" w:rsidR="00864660" w:rsidRDefault="00000000">
            <w:pPr>
              <w:spacing w:after="0"/>
            </w:pPr>
            <w:r>
              <w:t xml:space="preserve">Paiements de coupons éventuels </w:t>
            </w:r>
          </w:p>
        </w:tc>
        <w:tc>
          <w:tcPr>
            <w:tcW w:w="9053" w:type="dxa"/>
          </w:tcPr>
          <w:p w14:paraId="709BBD26" w14:textId="77777777" w:rsidR="00864660" w:rsidRDefault="00000000">
            <w:pPr>
              <w:keepNext/>
              <w:spacing w:after="0"/>
              <w:cnfStyle w:val="000000000000" w:firstRow="0" w:lastRow="0" w:firstColumn="0" w:lastColumn="0" w:oddVBand="0" w:evenVBand="0" w:oddHBand="0" w:evenHBand="0" w:firstRowFirstColumn="0" w:firstRowLastColumn="0" w:lastRowFirstColumn="0" w:lastRowLastColumn="0"/>
            </w:pPr>
            <w:r>
              <w:t xml:space="preserve">Si les billets n'ont pas été échangés, à chaque date de paiement du coupon, il y a deux scénarios : </w:t>
            </w:r>
          </w:p>
          <w:p w14:paraId="21B4608E"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de clôture de la date d'observation du coupon immédiatement antérieure est égal ou supérieur au niveau de paiement du coupon, vous recevrez un paiement du coupon égal au montant du principal indiqué multiplié par le taux du coupon. </w:t>
            </w:r>
          </w:p>
          <w:p w14:paraId="1FE8E3E8"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Sinon, vous ne recevrez pas de paiement à cette date. </w:t>
            </w:r>
          </w:p>
        </w:tc>
      </w:tr>
      <w:tr w:rsidR="00864660" w14:paraId="55B5DC4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C82B88" w14:textId="77777777" w:rsidR="00864660" w:rsidRDefault="00000000">
            <w:pPr>
              <w:spacing w:after="0"/>
            </w:pPr>
            <w:r>
              <w:t xml:space="preserve">Niveau d'appel automatique </w:t>
            </w:r>
          </w:p>
        </w:tc>
        <w:tc>
          <w:tcPr>
            <w:tcW w:w="9053" w:type="dxa"/>
          </w:tcPr>
          <w:p w14:paraId="343AFA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105,00% du niveau initial. </w:t>
            </w:r>
          </w:p>
        </w:tc>
      </w:tr>
      <w:tr w:rsidR="00864660" w14:paraId="04DDCAA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D159C7" w14:textId="77777777" w:rsidR="00864660" w:rsidRDefault="00000000">
            <w:pPr>
              <w:spacing w:after="0"/>
            </w:pPr>
            <w:r>
              <w:t xml:space="preserve">Rédemption anticipée automatique </w:t>
            </w:r>
          </w:p>
        </w:tc>
        <w:tc>
          <w:tcPr>
            <w:tcW w:w="9053" w:type="dxa"/>
          </w:tcPr>
          <w:p w14:paraId="466DFF0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Les notes seront automatiquement échangées à toute date de paiement d'appel automatique si, à la date d'observation d'appel automatique correspondante, le niveau de clôture est au niveau d'appel automatique ou supérieur. Lors d'un tel rachat, vous recevrez un paiement en espèces égal au montant du principal indiqué, en plus de tout paiement éventuel final. Aucun autre paiement ne sera effectué après cette date. Les notes ne peuvent pas être appelées automatiquement avant la sixième date d'observation. </w:t>
            </w:r>
          </w:p>
        </w:tc>
      </w:tr>
      <w:tr w:rsidR="00864660" w14:paraId="0E405B2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B3F5A1" w14:textId="77777777" w:rsidR="00864660" w:rsidRDefault="00000000">
            <w:pPr>
              <w:spacing w:after="0"/>
            </w:pPr>
            <w:r>
              <w:t xml:space="preserve">Niveau initial </w:t>
            </w:r>
          </w:p>
        </w:tc>
        <w:tc>
          <w:tcPr>
            <w:tcW w:w="9053" w:type="dxa"/>
          </w:tcPr>
          <w:p w14:paraId="51E30B9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niveau de clôture de la date de publication. </w:t>
            </w:r>
          </w:p>
        </w:tc>
      </w:tr>
      <w:tr w:rsidR="00864660" w14:paraId="6098D95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5F4A81A" w14:textId="77777777" w:rsidR="00864660" w:rsidRDefault="00000000">
            <w:pPr>
              <w:spacing w:after="0"/>
            </w:pPr>
            <w:r>
              <w:t xml:space="preserve">Niveau final </w:t>
            </w:r>
          </w:p>
        </w:tc>
        <w:tc>
          <w:tcPr>
            <w:tcW w:w="9053" w:type="dxa"/>
          </w:tcPr>
          <w:p w14:paraId="25E1C03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niveau de clôture à la date d'évaluation finale. </w:t>
            </w:r>
          </w:p>
        </w:tc>
      </w:tr>
      <w:tr w:rsidR="00864660" w14:paraId="5F7EBE00"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D70877" w14:textId="77777777" w:rsidR="00864660" w:rsidRDefault="00000000">
            <w:pPr>
              <w:spacing w:after="0"/>
            </w:pPr>
            <w:r>
              <w:t xml:space="preserve">Rendement des actifs de référence </w:t>
            </w:r>
          </w:p>
        </w:tc>
        <w:tc>
          <w:tcPr>
            <w:tcW w:w="9053" w:type="dxa"/>
          </w:tcPr>
          <w:p w14:paraId="6E6CB4F7" w14:textId="77777777" w:rsidR="00864660" w:rsidRDefault="00000000">
            <w:pPr>
              <w:spacing w:after="60"/>
              <w:cnfStyle w:val="000000000000" w:firstRow="0" w:lastRow="0" w:firstColumn="0" w:lastColumn="0" w:oddVBand="0" w:evenVBand="0" w:oddHBand="0" w:evenHBand="0" w:firstRowFirstColumn="0" w:firstRowLastColumn="0" w:lastRowFirstColumn="0" w:lastRowLastColumn="0"/>
            </w:pPr>
            <w:r>
              <w:t xml:space="preserve">Pour toute date donnée, le rendement de référence de l'actif est déterminé selon la formule suivante: </w:t>
            </w:r>
          </w:p>
          <w:p w14:paraId="5B674B9C" w14:textId="77777777" w:rsidR="00864660" w:rsidRDefault="00000000">
            <w:pPr>
              <w:spacing w:after="120"/>
              <w:cnfStyle w:val="000000000000" w:firstRow="0" w:lastRow="0" w:firstColumn="0" w:lastColumn="0" w:oddVBand="0" w:evenVBand="0" w:oddHBand="0" w:evenHBand="0" w:firstRowFirstColumn="0" w:firstRowLastColumn="0" w:lastRowFirstColumn="0" w:lastRowLastColumn="0"/>
            </w:pPr>
            <m:oMathPara>
              <m:oMathParaPr>
                <m:jc m:val="left"/>
              </m:oMathParaPr>
              <m:oMath>
                <m:r>
                  <m:rPr>
                    <m:nor/>
                  </m:rPr>
                  <w:rPr>
                    <w:rFonts w:ascii="Cambria Math" w:eastAsia="Cambria Math" w:hAnsi="Cambria Math" w:cs="Cambria Math"/>
                    <w:i/>
                  </w:rPr>
                  <m:t xml:space="preserve">= </m:t>
                </m:r>
                <m:f>
                  <m:fPr>
                    <m:ctrlPr>
                      <w:rPr>
                        <w:rFonts w:ascii="Cambria Math" w:hAnsi="Cambria Math"/>
                      </w:rPr>
                    </m:ctrlPr>
                  </m:fPr>
                  <m:num>
                    <m:r>
                      <m:rPr>
                        <m:nor/>
                      </m:rPr>
                      <w:rPr>
                        <w:rFonts w:ascii="Cambria Math" w:eastAsia="Cambria Math" w:hAnsi="Cambria Math" w:cs="Cambria Math"/>
                        <w:i/>
                      </w:rPr>
                      <m:t>closing level</m:t>
                    </m:r>
                    <m:r>
                      <w:rPr>
                        <w:rFonts w:ascii="Cambria Math" w:eastAsia="Cambria Math" w:hAnsi="Cambria Math" w:cs="Cambria Math"/>
                      </w:rPr>
                      <m:t xml:space="preserve"> - </m:t>
                    </m:r>
                    <m:r>
                      <m:rPr>
                        <m:nor/>
                      </m:rPr>
                      <w:rPr>
                        <w:rFonts w:ascii="Cambria Math" w:eastAsia="Cambria Math" w:hAnsi="Cambria Math" w:cs="Cambria Math"/>
                        <w:i/>
                      </w:rPr>
                      <m:t>initial level</m:t>
                    </m:r>
                  </m:num>
                  <m:den>
                    <m:r>
                      <m:rPr>
                        <m:nor/>
                      </m:rPr>
                      <w:rPr>
                        <w:rFonts w:ascii="Cambria Math" w:eastAsia="Cambria Math" w:hAnsi="Cambria Math" w:cs="Cambria Math"/>
                        <w:i/>
                      </w:rPr>
                      <m:t>initial level</m:t>
                    </m:r>
                  </m:den>
                </m:f>
              </m:oMath>
            </m:oMathPara>
          </w:p>
        </w:tc>
      </w:tr>
      <w:tr w:rsidR="00864660" w14:paraId="7D0690F7"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C4BE72F" w14:textId="77777777" w:rsidR="00864660" w:rsidRDefault="00000000">
            <w:pPr>
              <w:spacing w:after="0"/>
            </w:pPr>
            <w:r>
              <w:t xml:space="preserve">Rendement final des actifs de référence </w:t>
            </w:r>
          </w:p>
        </w:tc>
        <w:tc>
          <w:tcPr>
            <w:tcW w:w="9053" w:type="dxa"/>
          </w:tcPr>
          <w:p w14:paraId="26F0C01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 rendement de l'actif de référence à la date d'évaluation finale. </w:t>
            </w:r>
          </w:p>
        </w:tc>
      </w:tr>
      <w:tr w:rsidR="00864660" w14:paraId="3A496FB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FF446AB" w14:textId="77777777" w:rsidR="00864660" w:rsidRDefault="00000000">
            <w:pPr>
              <w:spacing w:after="0"/>
            </w:pPr>
            <w:r>
              <w:t xml:space="preserve">Niveau de barrière </w:t>
            </w:r>
          </w:p>
        </w:tc>
        <w:tc>
          <w:tcPr>
            <w:tcW w:w="9053" w:type="dxa"/>
          </w:tcPr>
          <w:p w14:paraId="5948008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80.00% du niveau initial. </w:t>
            </w:r>
          </w:p>
        </w:tc>
      </w:tr>
      <w:tr w:rsidR="00864660" w14:paraId="7D7CE9C4"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2E4ED708" w14:textId="77777777" w:rsidR="00864660" w:rsidRDefault="00000000">
            <w:pPr>
              <w:spacing w:after="0"/>
            </w:pPr>
            <w:r>
              <w:t xml:space="preserve">Participation à la baisse </w:t>
            </w:r>
          </w:p>
        </w:tc>
        <w:tc>
          <w:tcPr>
            <w:tcW w:w="9053" w:type="dxa"/>
          </w:tcPr>
          <w:p w14:paraId="219C1FC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100.00%, sous le niveau de la barrière. </w:t>
            </w:r>
          </w:p>
        </w:tc>
      </w:tr>
      <w:tr w:rsidR="00864660" w14:paraId="65984D6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20EC6E" w14:textId="77777777" w:rsidR="00864660" w:rsidRDefault="00000000">
            <w:pPr>
              <w:spacing w:after="0"/>
            </w:pPr>
            <w:r>
              <w:t xml:space="preserve">Événement de barrière </w:t>
            </w:r>
          </w:p>
        </w:tc>
        <w:tc>
          <w:tcPr>
            <w:tcW w:w="9053" w:type="dxa"/>
          </w:tcPr>
          <w:p w14:paraId="561B04E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Surveillance à l'échéance seulement. </w:t>
            </w:r>
          </w:p>
        </w:tc>
      </w:tr>
      <w:tr w:rsidR="00864660" w14:paraId="1B32BFC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EDDBAA4" w14:textId="77777777" w:rsidR="00864660" w:rsidRDefault="00000000">
            <w:pPr>
              <w:spacing w:after="0"/>
            </w:pPr>
            <w:r>
              <w:t xml:space="preserve">Paiement à l'échéance </w:t>
            </w:r>
          </w:p>
        </w:tc>
        <w:tc>
          <w:tcPr>
            <w:tcW w:w="9053" w:type="dxa"/>
          </w:tcPr>
          <w:p w14:paraId="3B4DD9B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Si les billets n'ont pas été échangés, vous recevrez à l'échéance pour chaque billet que vous détenez, en plus de tout paiement de coupon éventuel final: </w:t>
            </w:r>
          </w:p>
          <w:p w14:paraId="34A69E98" w14:textId="77777777" w:rsidR="00864660" w:rsidRDefault="00000000">
            <w:pPr>
              <w:pStyle w:val="BodyTextSmallSpacing"/>
              <w:numPr>
                <w:ilvl w:val="1"/>
                <w:numId w:val="4"/>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final est égal ou supérieur au niveau de la barrière, un paiement d'échéance égal à 100,00 $ CA. </w:t>
            </w:r>
          </w:p>
          <w:p w14:paraId="771F07E1" w14:textId="77777777" w:rsidR="00864660" w:rsidRDefault="00000000">
            <w:pPr>
              <w:pStyle w:val="BodyTextSmallSpacing"/>
              <w:numPr>
                <w:ilvl w:val="1"/>
                <w:numId w:val="4"/>
              </w:numPr>
              <w:spacing w:after="60"/>
              <w:cnfStyle w:val="000000000000" w:firstRow="0" w:lastRow="0" w:firstColumn="0" w:lastColumn="0" w:oddVBand="0" w:evenVBand="0" w:oddHBand="0" w:evenHBand="0" w:firstRowFirstColumn="0" w:firstRowLastColumn="0" w:lastRowFirstColumn="0" w:lastRowLastColumn="0"/>
              <w:rPr>
                <w:sz w:val="22"/>
              </w:rPr>
            </w:pPr>
            <w:r>
              <w:rPr>
                <w:sz w:val="22"/>
              </w:rPr>
              <w:t xml:space="preserve">Si le niveau final est inférieur au niveau de la barrière, un paiement à l'échéance directement lié à la performance de l'actif de référence. Le paiement à l'échéance sera égal à la formule suivante, sous réserve d'un paiement minimum de 1,00$ CAD: </w:t>
            </w:r>
          </w:p>
          <w:tbl>
            <w:tblPr>
              <w:tblStyle w:val="FormulaStyle"/>
              <w:tblW w:w="0" w:type="auto"/>
              <w:tblInd w:w="0" w:type="dxa"/>
              <w:tblLook w:val="04A0" w:firstRow="1" w:lastRow="0" w:firstColumn="1" w:lastColumn="0" w:noHBand="0" w:noVBand="1"/>
            </w:tblPr>
            <w:tblGrid>
              <w:gridCol w:w="503"/>
              <w:gridCol w:w="8350"/>
            </w:tblGrid>
            <w:tr w:rsidR="00864660" w14:paraId="763351FA" w14:textId="77777777">
              <w:tc>
                <w:tcPr>
                  <w:tcW w:w="3099" w:type="dxa"/>
                </w:tcPr>
                <w:p w14:paraId="7C7E3AB2" w14:textId="77777777" w:rsidR="00864660" w:rsidRDefault="00864660">
                  <w:pPr>
                    <w:spacing w:after="0"/>
                    <w:rPr>
                      <w:rFonts w:ascii="Cambria Math" w:eastAsia="Cambria Math" w:hAnsi="Cambria Math" w:cs="Cambria Math"/>
                      <w:i/>
                    </w:rPr>
                  </w:pPr>
                </w:p>
              </w:tc>
              <w:tc>
                <w:tcPr>
                  <w:tcW w:w="20660" w:type="dxa"/>
                </w:tcPr>
                <w:p w14:paraId="119EB787" w14:textId="77777777" w:rsidR="00864660" w:rsidRDefault="00000000">
                  <w:pPr>
                    <w:spacing w:after="0"/>
                    <w:rPr>
                      <w:rFonts w:ascii="Cambria Math" w:eastAsia="Cambria Math" w:hAnsi="Cambria Math" w:cs="Cambria Math"/>
                      <w:i/>
                    </w:rPr>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final reference asset return</m:t>
                          </m:r>
                        </m:e>
                      </m:d>
                      <m:r>
                        <m:rPr>
                          <m:nor/>
                        </m:rPr>
                        <w:rPr>
                          <w:rFonts w:ascii="Cambria Math" w:eastAsia="Cambria Math" w:hAnsi="Cambria Math" w:cs="Cambria Math"/>
                          <w:i/>
                        </w:rPr>
                        <m:t xml:space="preserve">  </m:t>
                      </m:r>
                    </m:oMath>
                  </m:oMathPara>
                </w:p>
              </w:tc>
            </w:tr>
          </w:tbl>
          <w:p w14:paraId="29DCEB11" w14:textId="77777777" w:rsidR="00864660" w:rsidRDefault="00000000">
            <w:pPr>
              <w:pStyle w:val="MainBodyTextNoSpacing"/>
              <w:spacing w:after="10"/>
              <w:cnfStyle w:val="000000000000" w:firstRow="0" w:lastRow="0" w:firstColumn="0" w:lastColumn="0" w:oddVBand="0" w:evenVBand="0" w:oddHBand="0" w:evenHBand="0" w:firstRowFirstColumn="0" w:firstRowLastColumn="0" w:lastRowFirstColumn="0" w:lastRowLastColumn="0"/>
              <w:rPr>
                <w:b/>
              </w:rPr>
            </w:pPr>
            <w:r>
              <w:rPr>
                <w:b/>
              </w:rPr>
              <w:t xml:space="preserve">Si les billets n'ont pas été rachetés plus tôt et que le niveau final est inférieur au niveau de la barrière, le paiement que vous recevez à l'échéance peut être nettement inférieur au montant du principal déclaré de vos billets et peut être aussi peu que 1,00$ CAD. </w:t>
            </w:r>
          </w:p>
        </w:tc>
      </w:tr>
      <w:tr w:rsidR="00864660" w14:paraId="3384467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4F3C52F" w14:textId="77777777" w:rsidR="00864660" w:rsidRDefault="00000000">
            <w:pPr>
              <w:spacing w:after="0"/>
            </w:pPr>
            <w:r>
              <w:t xml:space="preserve">Paiement minimal </w:t>
            </w:r>
          </w:p>
        </w:tc>
        <w:tc>
          <w:tcPr>
            <w:tcW w:w="9053" w:type="dxa"/>
          </w:tcPr>
          <w:p w14:paraId="16E03CA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1,00$ CAD par note. </w:t>
            </w:r>
          </w:p>
        </w:tc>
      </w:tr>
      <w:tr w:rsidR="00864660" w14:paraId="303416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490DF22" w14:textId="77777777" w:rsidR="00864660" w:rsidRDefault="00000000">
            <w:pPr>
              <w:spacing w:after="0"/>
            </w:pPr>
            <w:r>
              <w:t xml:space="preserve">Informations fiscales supplémentaires </w:t>
            </w:r>
          </w:p>
        </w:tc>
        <w:tc>
          <w:tcPr>
            <w:tcW w:w="9053" w:type="dxa"/>
          </w:tcPr>
          <w:p w14:paraId="74CCFE4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Pour en savoir plus sur les considérations liées à l'impôt fédéral canadien sur le revenu associées à un placement dans les notes, voir la section Considérations fiscales – Certaines considérations liées à l'impôt fédéral canadien dans le supplément de produit de revenu, tel que modifié conformément à la section intitulée « Certaines considérations liées à l'impôt fédéral canadien » dans le supplément de prix. </w:t>
            </w:r>
          </w:p>
          <w:p w14:paraId="7742FAD2"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5F9D4A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Pour en savoir plus sur l'admissibilité des notes à l'investissement pour certains régimes enregistrés, consultez la section Éligibilité à l'investissement dans le supplément de produit de revenu. </w:t>
            </w:r>
          </w:p>
        </w:tc>
      </w:tr>
      <w:tr w:rsidR="00864660" w14:paraId="403FC44B"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93E481C" w14:textId="77777777" w:rsidR="00864660" w:rsidRDefault="00000000">
            <w:pPr>
              <w:spacing w:after="0"/>
            </w:pPr>
            <w:r>
              <w:t xml:space="preserve">Code du serveur de fonds </w:t>
            </w:r>
          </w:p>
        </w:tc>
        <w:tc>
          <w:tcPr>
            <w:tcW w:w="9053" w:type="dxa"/>
          </w:tcPr>
          <w:p w14:paraId="4561492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JHN19116 </w:t>
            </w:r>
          </w:p>
        </w:tc>
      </w:tr>
      <w:tr w:rsidR="00864660" w14:paraId="77AA383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5A3F65" w14:textId="77777777" w:rsidR="00864660" w:rsidRDefault="00000000">
            <w:pPr>
              <w:spacing w:after="0"/>
            </w:pPr>
            <w:r>
              <w:t xml:space="preserve">Agent de calcul </w:t>
            </w:r>
          </w:p>
        </w:tc>
        <w:tc>
          <w:tcPr>
            <w:tcW w:w="9053" w:type="dxa"/>
          </w:tcPr>
          <w:p w14:paraId="463EF0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BMO Marchés des capitaux </w:t>
            </w:r>
          </w:p>
        </w:tc>
      </w:tr>
      <w:tr w:rsidR="00864660" w14:paraId="35BADAF8"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83B0366" w14:textId="77777777" w:rsidR="00864660" w:rsidRDefault="00000000">
            <w:pPr>
              <w:spacing w:after="0"/>
            </w:pPr>
            <w:r>
              <w:t xml:space="preserve">Détaillant </w:t>
            </w:r>
          </w:p>
        </w:tc>
        <w:tc>
          <w:tcPr>
            <w:tcW w:w="9053" w:type="dxa"/>
          </w:tcPr>
          <w:p w14:paraId="6AFE381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BMO Nesbitt Burns Inc., une de nos sociétés affiliées, et Manuvie Wealth Inc., agissant à titre de courtier indépendant. </w:t>
            </w:r>
          </w:p>
        </w:tc>
      </w:tr>
    </w:tbl>
    <w:p w14:paraId="13631D67" w14:textId="012F1AD5" w:rsidR="00864660" w:rsidRDefault="00864660" w:rsidP="00FA144F"/>
    <w:sectPr w:rsidR="00864660">
      <w:headerReference w:type="default" r:id="rId13"/>
      <w:footerReference w:type="default" r:id="rId14"/>
      <w:type w:val="continuous"/>
      <w:pgSz w:w="11906" w:h="16838"/>
      <w:pgMar w:top="720" w:right="285" w:bottom="140" w:left="285" w:header="200"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559E3" w14:textId="77777777" w:rsidR="00BC5BEC" w:rsidRDefault="00BC5BEC">
      <w:pPr>
        <w:spacing w:after="0"/>
      </w:pPr>
      <w:r>
        <w:separator/>
      </w:r>
    </w:p>
  </w:endnote>
  <w:endnote w:type="continuationSeparator" w:id="0">
    <w:p w14:paraId="39E4A161" w14:textId="77777777" w:rsidR="00BC5BEC" w:rsidRDefault="00BC5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3609D" w14:textId="77777777" w:rsidR="00864660" w:rsidRDefault="00864660">
    <w:pPr>
      <w:spacing w:after="0"/>
      <w:rPr>
        <w:sz w:val="8"/>
      </w:rPr>
    </w:pPr>
  </w:p>
  <w:tbl>
    <w:tblPr>
      <w:tblStyle w:val="CoverPageTable"/>
      <w:tblW w:w="0" w:type="auto"/>
      <w:tblInd w:w="0" w:type="dxa"/>
      <w:tblLook w:val="04A0" w:firstRow="1" w:lastRow="0" w:firstColumn="1" w:lastColumn="0" w:noHBand="0" w:noVBand="1"/>
    </w:tblPr>
    <w:tblGrid>
      <w:gridCol w:w="1886"/>
      <w:gridCol w:w="1886"/>
      <w:gridCol w:w="1886"/>
      <w:gridCol w:w="1886"/>
      <w:gridCol w:w="1886"/>
      <w:gridCol w:w="1886"/>
    </w:tblGrid>
    <w:tr w:rsidR="00864660" w14:paraId="54017357" w14:textId="77777777">
      <w:tc>
        <w:tcPr>
          <w:tcW w:w="1887" w:type="dxa"/>
          <w:gridSpan w:val="6"/>
        </w:tcPr>
        <w:p w14:paraId="5CDE376F" w14:textId="77777777" w:rsidR="00864660" w:rsidRDefault="00000000">
          <w:pPr>
            <w:spacing w:after="0"/>
            <w:jc w:val="center"/>
            <w:rPr>
              <w:b/>
              <w:color w:val="0079C1"/>
            </w:rPr>
          </w:pPr>
          <w:r>
            <w:rPr>
              <w:b/>
              <w:color w:val="0079C1"/>
            </w:rPr>
            <w:t xml:space="preserve">Détails supplémentaires </w:t>
          </w:r>
        </w:p>
      </w:tc>
    </w:tr>
    <w:tr w:rsidR="00864660" w14:paraId="0CB576ED" w14:textId="77777777">
      <w:tc>
        <w:tcPr>
          <w:tcW w:w="1887" w:type="dxa"/>
          <w:shd w:val="clear" w:color="auto" w:fill="C7D8EF"/>
        </w:tcPr>
        <w:p w14:paraId="56B2BE86" w14:textId="77777777" w:rsidR="00864660" w:rsidRDefault="00000000">
          <w:pPr>
            <w:spacing w:after="0"/>
            <w:jc w:val="center"/>
            <w:rPr>
              <w:b/>
              <w:color w:val="0079C1"/>
            </w:rPr>
          </w:pPr>
          <w:r>
            <w:rPr>
              <w:b/>
              <w:color w:val="0079C1"/>
            </w:rPr>
            <w:t xml:space="preserve">Code de la fonction publique </w:t>
          </w:r>
        </w:p>
      </w:tc>
      <w:tc>
        <w:tcPr>
          <w:tcW w:w="1887" w:type="dxa"/>
          <w:shd w:val="clear" w:color="auto" w:fill="C7D8EF"/>
        </w:tcPr>
        <w:p w14:paraId="2244066E" w14:textId="77777777" w:rsidR="00864660" w:rsidRDefault="00000000">
          <w:pPr>
            <w:spacing w:after="0"/>
            <w:jc w:val="center"/>
            <w:rPr>
              <w:b/>
              <w:color w:val="0079C1"/>
            </w:rPr>
          </w:pPr>
          <w:r>
            <w:rPr>
              <w:b/>
              <w:color w:val="0079C1"/>
            </w:rPr>
            <w:t xml:space="preserve">Disponible jusqu'à </w:t>
          </w:r>
        </w:p>
      </w:tc>
      <w:tc>
        <w:tcPr>
          <w:tcW w:w="1887" w:type="dxa"/>
          <w:shd w:val="clear" w:color="auto" w:fill="C7D8EF"/>
        </w:tcPr>
        <w:p w14:paraId="26B76515" w14:textId="77777777" w:rsidR="00864660" w:rsidRDefault="00000000">
          <w:pPr>
            <w:spacing w:after="0"/>
            <w:jc w:val="center"/>
            <w:rPr>
              <w:b/>
              <w:color w:val="0079C1"/>
            </w:rPr>
          </w:pPr>
          <w:r>
            <w:rPr>
              <w:b/>
              <w:color w:val="0079C1"/>
            </w:rPr>
            <w:t xml:space="preserve">Date de publication </w:t>
          </w:r>
        </w:p>
      </w:tc>
      <w:tc>
        <w:tcPr>
          <w:tcW w:w="1887" w:type="dxa"/>
          <w:shd w:val="clear" w:color="auto" w:fill="C7D8EF"/>
        </w:tcPr>
        <w:p w14:paraId="64AD962B" w14:textId="77777777" w:rsidR="00864660" w:rsidRDefault="00000000">
          <w:pPr>
            <w:spacing w:after="0"/>
            <w:jc w:val="center"/>
            <w:rPr>
              <w:b/>
              <w:color w:val="0079C1"/>
            </w:rPr>
          </w:pPr>
          <w:r>
            <w:rPr>
              <w:b/>
              <w:color w:val="0079C1"/>
            </w:rPr>
            <w:t xml:space="preserve">Échéance </w:t>
          </w:r>
        </w:p>
      </w:tc>
      <w:tc>
        <w:tcPr>
          <w:tcW w:w="1887" w:type="dxa"/>
          <w:shd w:val="clear" w:color="auto" w:fill="C7D8EF"/>
        </w:tcPr>
        <w:p w14:paraId="7266CAA8" w14:textId="77777777" w:rsidR="00864660" w:rsidRDefault="00000000">
          <w:pPr>
            <w:spacing w:after="0"/>
            <w:jc w:val="center"/>
            <w:rPr>
              <w:b/>
              <w:color w:val="0079C1"/>
            </w:rPr>
          </w:pPr>
          <w:r>
            <w:rPr>
              <w:b/>
              <w:color w:val="0079C1"/>
            </w:rPr>
            <w:t xml:space="preserve">Investissement minimum </w:t>
          </w:r>
        </w:p>
      </w:tc>
      <w:tc>
        <w:tcPr>
          <w:tcW w:w="1887" w:type="dxa"/>
          <w:shd w:val="clear" w:color="auto" w:fill="C7D8EF"/>
        </w:tcPr>
        <w:p w14:paraId="6C798378" w14:textId="77777777" w:rsidR="00864660" w:rsidRDefault="00000000">
          <w:pPr>
            <w:spacing w:after="0"/>
            <w:jc w:val="center"/>
            <w:rPr>
              <w:b/>
              <w:color w:val="0079C1"/>
            </w:rPr>
          </w:pPr>
          <w:r>
            <w:rPr>
              <w:b/>
              <w:color w:val="0079C1"/>
            </w:rPr>
            <w:t xml:space="preserve">Vente de concession </w:t>
          </w:r>
        </w:p>
      </w:tc>
    </w:tr>
    <w:tr w:rsidR="00864660" w14:paraId="676FA4E6" w14:textId="77777777">
      <w:tc>
        <w:tcPr>
          <w:tcW w:w="1887" w:type="dxa"/>
        </w:tcPr>
        <w:p w14:paraId="28A01DF8" w14:textId="77777777" w:rsidR="00864660" w:rsidRDefault="00000000">
          <w:pPr>
            <w:spacing w:after="0"/>
            <w:jc w:val="center"/>
          </w:pPr>
          <w:r>
            <w:t xml:space="preserve">JHN19116 </w:t>
          </w:r>
        </w:p>
      </w:tc>
      <w:tc>
        <w:tcPr>
          <w:tcW w:w="1887" w:type="dxa"/>
        </w:tcPr>
        <w:p w14:paraId="21AA6B98" w14:textId="77777777" w:rsidR="00864660" w:rsidRDefault="00000000">
          <w:pPr>
            <w:spacing w:after="0"/>
            <w:jc w:val="center"/>
          </w:pPr>
          <w:r>
            <w:t xml:space="preserve">11 février 2025 </w:t>
          </w:r>
        </w:p>
      </w:tc>
      <w:tc>
        <w:tcPr>
          <w:tcW w:w="1887" w:type="dxa"/>
        </w:tcPr>
        <w:p w14:paraId="21EE580C" w14:textId="77777777" w:rsidR="00864660" w:rsidRDefault="00000000">
          <w:pPr>
            <w:spacing w:after="0"/>
            <w:jc w:val="center"/>
          </w:pPr>
          <w:r>
            <w:t xml:space="preserve">14 février 2025 </w:t>
          </w:r>
        </w:p>
      </w:tc>
      <w:tc>
        <w:tcPr>
          <w:tcW w:w="1887" w:type="dxa"/>
        </w:tcPr>
        <w:p w14:paraId="4FB4962E" w14:textId="77777777" w:rsidR="00864660" w:rsidRDefault="00000000">
          <w:pPr>
            <w:spacing w:after="0"/>
            <w:jc w:val="center"/>
          </w:pPr>
          <w:r>
            <w:t xml:space="preserve">17 février 2032 </w:t>
          </w:r>
        </w:p>
      </w:tc>
      <w:tc>
        <w:tcPr>
          <w:tcW w:w="1887" w:type="dxa"/>
        </w:tcPr>
        <w:p w14:paraId="5DF24A09" w14:textId="77777777" w:rsidR="00864660" w:rsidRDefault="00000000">
          <w:pPr>
            <w:spacing w:after="0"/>
            <w:jc w:val="center"/>
          </w:pPr>
          <w:r>
            <w:t xml:space="preserve">2 000 $CAN </w:t>
          </w:r>
        </w:p>
      </w:tc>
      <w:tc>
        <w:tcPr>
          <w:tcW w:w="1887" w:type="dxa"/>
        </w:tcPr>
        <w:p w14:paraId="330F279E" w14:textId="77777777" w:rsidR="00864660" w:rsidRDefault="00000000">
          <w:pPr>
            <w:spacing w:after="0"/>
            <w:jc w:val="center"/>
          </w:pPr>
          <w:r>
            <w:t xml:space="preserve">2,50 $CAN </w:t>
          </w:r>
        </w:p>
      </w:tc>
    </w:tr>
  </w:tbl>
  <w:p w14:paraId="4115F6DA" w14:textId="77777777" w:rsidR="00864660" w:rsidRDefault="00000000">
    <w:pPr>
      <w:rPr>
        <w:i/>
        <w:sz w:val="14"/>
      </w:rPr>
    </w:pPr>
    <w:r>
      <w:rPr>
        <w:i/>
        <w:sz w:val="14"/>
      </w:rPr>
      <w:t xml:space="preserve">Un prospectus de base final contenant des renseignements importants sur les valeurs mobilières écrites dans le présent document a été déposé auprès des autorités de réglementation des valeurs mobilières de chaque province et territoire du Canada. Une copie du prospectus de base final, de toute modification du prospectus de base final et de tout supplément de prospectus de base qui a été déposé, doit être remis avec ce document. Ce document ne soutient pas la divulgation complète de tous les faits importants relatifs aux valeurs mobilières offertes. Les investisseurs doivent lire le prospectus de base final, toute modification et tout supplément de prospectus de base applicable pour la divulgation de ces faits, en particulier les facteurs de risque liés aux valeurs mobilières offertes, avant de prendre une décision de placement. </w:t>
    </w:r>
  </w:p>
  <w:tbl>
    <w:tblPr>
      <w:tblW w:w="11327" w:type="dxa"/>
      <w:tblLook w:val="04A0" w:firstRow="1" w:lastRow="0" w:firstColumn="1" w:lastColumn="0" w:noHBand="0" w:noVBand="1"/>
    </w:tblPr>
    <w:tblGrid>
      <w:gridCol w:w="3575"/>
      <w:gridCol w:w="7752"/>
    </w:tblGrid>
    <w:tr w:rsidR="00864660" w14:paraId="72045522" w14:textId="77777777">
      <w:tc>
        <w:tcPr>
          <w:tcW w:w="0" w:type="auto"/>
        </w:tcPr>
        <w:p w14:paraId="02ABE73C" w14:textId="77777777" w:rsidR="00864660" w:rsidRDefault="00000000">
          <w:r>
            <w:rPr>
              <w:noProof/>
            </w:rPr>
            <w:drawing>
              <wp:inline distT="0" distB="0" distL="0" distR="0" wp14:anchorId="02C1136D" wp14:editId="4413013B">
                <wp:extent cx="1426450" cy="500000"/>
                <wp:effectExtent l="0" t="0" r="0" b="0"/>
                <wp:docPr id="9"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Pr>
            <w:spacing w:after="0"/>
          </w:pPr>
        </w:p>
      </w:tc>
      <w:tc>
        <w:tcPr>
          <w:tcW w:w="0" w:type="auto"/>
          <w:vAlign w:val="center"/>
        </w:tcPr>
        <w:p w14:paraId="17D29AB4" w14:textId="77777777" w:rsidR="00864660" w:rsidRDefault="00000000">
          <w:pPr>
            <w:spacing w:after="120"/>
            <w:jc w:val="right"/>
            <w:rPr>
              <w:sz w:val="20"/>
            </w:rPr>
          </w:pPr>
          <w:r>
            <w:rPr>
              <w:sz w:val="20"/>
            </w:rPr>
            <w:t xml:space="preserve">Pour plus d'informations, veuillez contacter votre conseiller en investissement. </w:t>
          </w:r>
        </w:p>
        <w:p w14:paraId="05859DD3" w14:textId="77777777" w:rsidR="00864660" w:rsidRDefault="00864660">
          <w:pPr>
            <w:jc w:val="right"/>
          </w:pPr>
          <w:hyperlink r:id="rId2">
            <w:r>
              <w:rPr>
                <w:rStyle w:val="Hyperlink1"/>
                <w:color w:val="0000FF"/>
                <w:u w:val="single"/>
              </w:rPr>
              <w:t>www.bmonotes.com</w:t>
            </w:r>
          </w:hyperlink>
        </w:p>
      </w:tc>
    </w:tr>
  </w:tbl>
  <w:p w14:paraId="2B42DD02" w14:textId="77777777" w:rsidR="00864660" w:rsidRDefault="00864660">
    <w:pPr>
      <w:spacing w:after="0"/>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27" w:type="dxa"/>
      <w:tblLook w:val="04A0" w:firstRow="1" w:lastRow="0" w:firstColumn="1" w:lastColumn="0" w:noHBand="0" w:noVBand="1"/>
    </w:tblPr>
    <w:tblGrid>
      <w:gridCol w:w="5309"/>
      <w:gridCol w:w="6018"/>
    </w:tblGrid>
    <w:tr w:rsidR="00864660" w14:paraId="0CEF5E27" w14:textId="77777777">
      <w:tc>
        <w:tcPr>
          <w:tcW w:w="0" w:type="auto"/>
        </w:tcPr>
        <w:p w14:paraId="2D98A696" w14:textId="77777777" w:rsidR="00864660" w:rsidRDefault="00000000">
          <w:r>
            <w:rPr>
              <w:noProof/>
            </w:rPr>
            <w:drawing>
              <wp:inline distT="0" distB="0" distL="0" distR="0" wp14:anchorId="129B8D7B" wp14:editId="748F5AA2">
                <wp:extent cx="1426450" cy="500000"/>
                <wp:effectExtent l="0" t="0" r="0" b="0"/>
                <wp:docPr id="32"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Pr>
            <w:spacing w:after="0"/>
          </w:pPr>
        </w:p>
      </w:tc>
      <w:tc>
        <w:tcPr>
          <w:tcW w:w="0" w:type="auto"/>
          <w:vAlign w:val="center"/>
        </w:tcPr>
        <w:p w14:paraId="543B95D1" w14:textId="77777777" w:rsidR="00864660" w:rsidRDefault="00000000">
          <w:pPr>
            <w:spacing w:after="0"/>
            <w:jc w:val="right"/>
            <w:rPr>
              <w:b/>
              <w:color w:val="0079C1"/>
              <w:sz w:val="40"/>
            </w:rPr>
          </w:pPr>
          <w:r>
            <w:rPr>
              <w:b/>
              <w:color w:val="0079C1"/>
              <w:sz w:val="40"/>
            </w:rPr>
            <w:t xml:space="preserve">Brochure du client </w:t>
          </w:r>
        </w:p>
      </w:tc>
    </w:tr>
  </w:tbl>
  <w:p w14:paraId="55FBAEDF" w14:textId="77777777" w:rsidR="00864660" w:rsidRDefault="00000000">
    <w:pPr>
      <w:spacing w:after="0"/>
      <w:jc w:val="center"/>
    </w:pPr>
    <w:r>
      <w:t xml:space="preserve">- Oui. </w:t>
    </w:r>
    <w:r>
      <w:fldChar w:fldCharType="begin"/>
    </w:r>
    <w:r>
      <w:instrText xml:space="preserve"> PAGE   \* MERGEFORMAT </w:instrText>
    </w:r>
    <w:r>
      <w:fldChar w:fldCharType="separate"/>
    </w:r>
    <w:r>
      <w:t xml:space="preserve">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8E8E1" w14:textId="77777777" w:rsidR="00BC5BEC" w:rsidRDefault="00BC5BEC">
      <w:pPr>
        <w:spacing w:after="0"/>
      </w:pPr>
      <w:r>
        <w:separator/>
      </w:r>
    </w:p>
  </w:footnote>
  <w:footnote w:type="continuationSeparator" w:id="0">
    <w:p w14:paraId="3FD5EB41" w14:textId="77777777" w:rsidR="00BC5BEC" w:rsidRDefault="00BC5B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D56BA" w14:textId="77777777" w:rsidR="00864660" w:rsidRDefault="00000000">
    <w:r>
      <w:rPr>
        <w:noProof/>
      </w:rPr>
      <w:drawing>
        <wp:inline distT="0" distB="0" distL="0" distR="0" wp14:anchorId="5B60D986" wp14:editId="2D85D820">
          <wp:extent cx="7186560" cy="1824000"/>
          <wp:effectExtent l="0" t="0" r="0" b="0"/>
          <wp:docPr id="7"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descr="Header"/>
                  <pic:cNvPicPr/>
                </pic:nvPicPr>
                <pic:blipFill>
                  <a:blip r:embed="rId1" cstate="print"/>
                  <a:stretch>
                    <a:fillRect/>
                  </a:stretch>
                </pic:blipFill>
                <pic:spPr>
                  <a:xfrm>
                    <a:off x="0" y="0"/>
                    <a:ext cx="7186560" cy="1824000"/>
                  </a:xfrm>
                  <a:prstGeom prst="rect">
                    <a:avLst/>
                  </a:prstGeom>
                </pic:spPr>
              </pic:pic>
            </a:graphicData>
          </a:graphic>
        </wp:inline>
      </w:drawing>
    </w:r>
    <w:pPr>
      <w:spacing w:after="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4D7B" w14:textId="77777777" w:rsidR="00864660" w:rsidRDefault="00000000">
    <w:r>
      <w:rPr>
        <w:noProof/>
      </w:rPr>
      <w:drawing>
        <wp:inline distT="0" distB="0" distL="0" distR="0" wp14:anchorId="0DCF0926" wp14:editId="5A9EA136">
          <wp:extent cx="7230000" cy="723000"/>
          <wp:effectExtent l="0" t="0" r="0" b="0"/>
          <wp:docPr id="31"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descr="Header"/>
                  <pic:cNvPicPr/>
                </pic:nvPicPr>
                <pic:blipFill>
                  <a:blip r:embed="rId1" cstate="print"/>
                  <a:stretch>
                    <a:fillRect/>
                  </a:stretch>
                </pic:blipFill>
                <pic:spPr>
                  <a:xfrm>
                    <a:off x="0" y="0"/>
                    <a:ext cx="7230000" cy="723000"/>
                  </a:xfrm>
                  <a:prstGeom prst="rect">
                    <a:avLst/>
                  </a:prstGeom>
                </pic:spPr>
              </pic:pic>
            </a:graphicData>
          </a:graphic>
        </wp:inline>
      </w:drawing>
    </w:r>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9D7"/>
    <w:multiLevelType w:val="multilevel"/>
    <w:tmpl w:val="24C88618"/>
    <w:lvl w:ilvl="0">
      <w:start w:val="1"/>
      <w:numFmt w:val="bullet"/>
      <w:lvlText w:val="o"/>
      <w:lvlJc w:val="left"/>
      <w:pPr>
        <w:ind w:left="720" w:hanging="360"/>
      </w:pPr>
      <w:rPr>
        <w:rFonts w:ascii="Symbol" w:eastAsia="Symbol" w:hAnsi="Symbol" w:cs="Symbol"/>
      </w:rPr>
    </w:lvl>
    <w:lvl w:ilvl="1">
      <w:start w:val="1"/>
      <w:numFmt w:val="bullet"/>
      <w:pStyle w:val="CouponStepBodyTextSmallSpacing"/>
      <w:lvlText w:val="o"/>
      <w:lvlJc w:val="left"/>
      <w:pPr>
        <w:ind w:left="1080" w:hanging="360"/>
      </w:pPr>
      <w:rPr>
        <w:rFonts w:ascii="Symbol" w:eastAsia="Symbol" w:hAnsi="Symbol" w:cs="Symbol"/>
      </w:rPr>
    </w:lvl>
    <w:lvl w:ilvl="2">
      <w:start w:val="1"/>
      <w:numFmt w:val="bullet"/>
      <w:lvlText w:val="o"/>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A469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091428"/>
    <w:multiLevelType w:val="multilevel"/>
    <w:tmpl w:val="02DAD9EA"/>
    <w:lvl w:ilvl="0">
      <w:start w:val="1"/>
      <w:numFmt w:val="bullet"/>
      <w:lvlText w:val=""/>
      <w:lvlJc w:val="left"/>
      <w:pPr>
        <w:ind w:left="720" w:hanging="360"/>
      </w:pPr>
      <w:rPr>
        <w:rFonts w:ascii="Symbol" w:eastAsia="Symbol" w:hAnsi="Symbol" w:cs="Symbol"/>
      </w:rPr>
    </w:lvl>
    <w:lvl w:ilvl="1">
      <w:start w:val="1"/>
      <w:numFmt w:val="bullet"/>
      <w:lvlText w:val=""/>
      <w:lvlJc w:val="left"/>
      <w:pPr>
        <w:ind w:left="1080" w:hanging="360"/>
      </w:pPr>
      <w:rPr>
        <w:rFonts w:ascii="Symbol" w:eastAsia="Symbol" w:hAnsi="Symbol" w:cs="Symbol"/>
      </w:rPr>
    </w:lvl>
    <w:lvl w:ilvl="2">
      <w:start w:val="1"/>
      <w:numFmt w:val="bullet"/>
      <w:lvlText w:val=""/>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7A3E64"/>
    <w:multiLevelType w:val="singleLevel"/>
    <w:tmpl w:val="78B40F6E"/>
    <w:lvl w:ilvl="0">
      <w:start w:val="1"/>
      <w:numFmt w:val="decimal"/>
      <w:lvlText w:val="(%1)"/>
      <w:lvlJc w:val="left"/>
      <w:pPr>
        <w:ind w:left="360" w:hanging="360"/>
      </w:pPr>
    </w:lvl>
  </w:abstractNum>
  <w:num w:numId="1" w16cid:durableId="646476138">
    <w:abstractNumId w:val="0"/>
  </w:num>
  <w:num w:numId="2" w16cid:durableId="1134174587">
    <w:abstractNumId w:val="2"/>
  </w:num>
  <w:num w:numId="3" w16cid:durableId="276718435">
    <w:abstractNumId w:val="2"/>
  </w:num>
  <w:num w:numId="4" w16cid:durableId="1035273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4"/>
    <w:rsid w:val="00202F35"/>
    <w:rsid w:val="00247AC1"/>
    <w:rsid w:val="002548E4"/>
    <w:rsid w:val="00314A08"/>
    <w:rsid w:val="004D3611"/>
    <w:rsid w:val="00707D86"/>
    <w:rsid w:val="00864660"/>
    <w:rsid w:val="00BC5BEC"/>
    <w:rsid w:val="00F556E9"/>
    <w:rsid w:val="00FA14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D32"/>
  <w15:chartTrackingRefBased/>
  <w15:docId w15:val="{DC905098-68CE-46F9-9D23-F85D7D36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Body)" w:eastAsia="Calibri (Body)" w:hAnsi="Calibri (Body)" w:cs="Calibri (Body)"/>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Caption">
    <w:name w:val="caption"/>
    <w:basedOn w:val="Normal"/>
    <w:next w:val="Normal"/>
    <w:uiPriority w:val="35"/>
    <w:semiHidden/>
    <w:unhideWhenUsed/>
    <w:qFormat/>
    <w:rPr>
      <w:b/>
      <w:bCs/>
      <w:color w:val="4472C4" w:themeColor="accent1"/>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pPr>
  </w:style>
  <w:style w:type="table" w:customStyle="1" w:styleId="FirstBoldBlueTable">
    <w:name w:val="First Bold Blue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rPr>
      <w:tblPr/>
      <w:tcPr>
        <w:shd w:val="clear" w:color="auto" w:fill="C7D8EF"/>
        <w:vAlign w:val="center"/>
      </w:tcPr>
    </w:tblStylePr>
    <w:tblStylePr w:type="firstCol">
      <w:rPr>
        <w:b/>
        <w:color w:val="0079C1"/>
      </w:rPr>
    </w:tblStylePr>
  </w:style>
  <w:style w:type="table" w:customStyle="1" w:styleId="FormulaStyleCumulative">
    <w:name w:val="Formula Style Cumulative"/>
    <w:qFormat/>
    <w:pPr>
      <w:spacing w:after="60"/>
    </w:pPr>
    <w:tblPr>
      <w:tblInd w:w="720" w:type="dxa"/>
      <w:tblCellMar>
        <w:top w:w="0" w:type="dxa"/>
        <w:left w:w="0" w:type="dxa"/>
        <w:bottom w:w="0" w:type="dxa"/>
        <w:right w:w="0" w:type="dxa"/>
      </w:tblCellMar>
    </w:tblPr>
    <w:tcPr>
      <w:vAlign w:val="center"/>
    </w:tcPr>
  </w:style>
  <w:style w:type="table" w:customStyle="1" w:styleId="FormulaStyleCumulative1">
    <w:name w:val="Formula Style Cumulative 1"/>
    <w:qFormat/>
    <w:pPr>
      <w:spacing w:after="60"/>
    </w:pPr>
    <w:tblPr>
      <w:tblCellMar>
        <w:top w:w="0" w:type="dxa"/>
        <w:left w:w="0" w:type="dxa"/>
        <w:bottom w:w="0" w:type="dxa"/>
        <w:right w:w="0" w:type="dxa"/>
      </w:tblCellMar>
    </w:tblPr>
    <w:tcPr>
      <w:vAlign w:val="center"/>
    </w:tcPr>
  </w:style>
  <w:style w:type="table" w:customStyle="1" w:styleId="HypoCashSummaryTable">
    <w:name w:val="Hypo Cash Summary Table"/>
    <w:qFormat/>
    <w:pPr>
      <w:jc w:val="right"/>
    </w:pPr>
    <w:rPr>
      <w:sz w:val="20"/>
      <w:szCs w:val="20"/>
      <w:lang w:val="en-CA" w:eastAsia="en-CA"/>
    </w:r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tblStylePr w:type="firstCol">
      <w:pPr>
        <w:jc w:val="left"/>
      </w:pPr>
      <w:rPr>
        <w:b/>
        <w:color w:val="000000"/>
      </w:rPr>
    </w:tblStylePr>
  </w:style>
  <w:style w:type="table" w:customStyle="1" w:styleId="HypoLevelTable">
    <w:name w:val="Hypo Level Table"/>
    <w:qFormat/>
    <w:pPr>
      <w:jc w:val="right"/>
    </w:p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style>
  <w:style w:type="table" w:customStyle="1" w:styleId="AdjustedReturnTable">
    <w:name w:val="Adjusted Return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color w:val="0079C1"/>
      </w:rPr>
      <w:tblPr/>
      <w:tcPr>
        <w:shd w:val="clear" w:color="auto" w:fill="C7D8EF"/>
        <w:vAlign w:val="center"/>
      </w:tcPr>
    </w:tblStylePr>
  </w:style>
  <w:style w:type="table" w:customStyle="1" w:styleId="FormulaStyle">
    <w:name w:val="Formula Style"/>
    <w:qFormat/>
    <w:tblPr>
      <w:jc w:val="center"/>
      <w:tblCellMar>
        <w:top w:w="0" w:type="dxa"/>
        <w:left w:w="0" w:type="dxa"/>
        <w:bottom w:w="0" w:type="dxa"/>
        <w:right w:w="0" w:type="dxa"/>
      </w:tblCellMar>
    </w:tblPr>
    <w:trPr>
      <w:jc w:val="center"/>
    </w:trPr>
    <w:tcPr>
      <w:vAlign w:val="center"/>
    </w:tcPr>
  </w:style>
  <w:style w:type="table" w:customStyle="1" w:styleId="DatesTable">
    <w:name w:val="Dates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 w:type="dxa"/>
        <w:left w:w="10" w:type="dxa"/>
        <w:bottom w:w="10" w:type="dxa"/>
        <w:right w:w="10" w:type="dxa"/>
      </w:tblCellMar>
    </w:tblPr>
    <w:tblStylePr w:type="firstRow">
      <w:pPr>
        <w:jc w:val="left"/>
      </w:pPr>
      <w:rPr>
        <w:b/>
        <w:color w:val="0079C1"/>
      </w:rPr>
      <w:tblPr/>
      <w:tcPr>
        <w:shd w:val="clear" w:color="auto" w:fill="C7D8EF"/>
        <w:vAlign w:val="center"/>
      </w:tcPr>
    </w:tblStylePr>
  </w:style>
  <w:style w:type="table" w:customStyle="1" w:styleId="CoverPageTable">
    <w:name w:val="Cover Page Table"/>
    <w:qFormat/>
    <w:tblPr>
      <w:jc w:val="cente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50" w:type="dxa"/>
        <w:left w:w="50" w:type="dxa"/>
        <w:bottom w:w="50" w:type="dxa"/>
        <w:right w:w="50" w:type="dxa"/>
      </w:tblCellMar>
    </w:tblPr>
    <w:trPr>
      <w:jc w:val="center"/>
    </w:trPr>
    <w:tcPr>
      <w:vAlign w:val="center"/>
    </w:tcPr>
  </w:style>
  <w:style w:type="table" w:customStyle="1" w:styleId="HyposHeadingTable">
    <w:name w:val="Hypos Heading Table"/>
    <w:qFormat/>
    <w:tblPr>
      <w:tblCellMar>
        <w:top w:w="80" w:type="dxa"/>
        <w:left w:w="80" w:type="dxa"/>
        <w:bottom w:w="80" w:type="dxa"/>
        <w:right w:w="80" w:type="dxa"/>
      </w:tblCellMar>
    </w:tblPr>
    <w:tcPr>
      <w:shd w:val="clear" w:color="auto" w:fill="3394CD"/>
    </w:tcPr>
    <w:tblStylePr w:type="firstCol">
      <w:pPr>
        <w:spacing w:before="0" w:after="40"/>
      </w:pPr>
      <w:rPr>
        <w:b/>
        <w:color w:val="FFFFFF"/>
      </w:rPr>
    </w:tblStylePr>
  </w:style>
  <w:style w:type="paragraph" w:customStyle="1" w:styleId="IBSubtitle">
    <w:name w:val="IB Subtitle"/>
    <w:qFormat/>
    <w:rPr>
      <w:b/>
      <w:color w:val="0079C1"/>
      <w:sz w:val="28"/>
    </w:rPr>
  </w:style>
  <w:style w:type="paragraph" w:customStyle="1" w:styleId="InvestmentHighlights">
    <w:name w:val="Investment Highlights"/>
    <w:qFormat/>
    <w:pPr>
      <w:keepNext/>
      <w:keepLines/>
      <w:spacing w:after="60"/>
    </w:pPr>
    <w:rPr>
      <w:rFonts w:ascii="Calibri (Body)" w:eastAsia="Calibri (Body)" w:hAnsi="Calibri (Body)" w:cs="Calibri (Body)"/>
      <w:sz w:val="17"/>
    </w:rPr>
  </w:style>
  <w:style w:type="paragraph" w:customStyle="1" w:styleId="InvestmentHighlightsStepUp">
    <w:name w:val="Investment Highlights StepUp"/>
    <w:qFormat/>
    <w:pPr>
      <w:keepNext/>
      <w:keepLines/>
      <w:spacing w:after="60"/>
      <w:ind w:left="360"/>
    </w:pPr>
    <w:rPr>
      <w:rFonts w:ascii="Calibri (Body)" w:eastAsia="Calibri (Body)" w:hAnsi="Calibri (Body)" w:cs="Calibri (Body)"/>
      <w:sz w:val="16"/>
    </w:rPr>
  </w:style>
  <w:style w:type="paragraph" w:customStyle="1" w:styleId="CoverIBBody">
    <w:name w:val="Cover IB Body"/>
    <w:qFormat/>
    <w:pPr>
      <w:spacing w:after="0"/>
    </w:pPr>
    <w:rPr>
      <w:rFonts w:ascii="Calibri (Body)" w:eastAsia="Calibri (Body)" w:hAnsi="Calibri (Body)" w:cs="Calibri (Body)"/>
    </w:rPr>
  </w:style>
  <w:style w:type="paragraph" w:customStyle="1" w:styleId="MainTitle">
    <w:name w:val="Main Title"/>
    <w:qFormat/>
    <w:pPr>
      <w:spacing w:after="0"/>
      <w:jc w:val="center"/>
    </w:pPr>
    <w:rPr>
      <w:color w:val="0079C1"/>
      <w:sz w:val="28"/>
    </w:rPr>
  </w:style>
  <w:style w:type="paragraph" w:customStyle="1" w:styleId="MainSubtitle">
    <w:name w:val="Main Subtitle"/>
    <w:qFormat/>
    <w:pPr>
      <w:spacing w:after="0"/>
      <w:jc w:val="center"/>
    </w:pPr>
    <w:rPr>
      <w:color w:val="0079C1"/>
      <w:sz w:val="20"/>
    </w:rPr>
  </w:style>
  <w:style w:type="paragraph" w:customStyle="1" w:styleId="TitleAltSpacing">
    <w:name w:val="Title Alt Spacing"/>
    <w:qFormat/>
    <w:pPr>
      <w:spacing w:before="200"/>
      <w:outlineLvl w:val="2"/>
    </w:pPr>
    <w:rPr>
      <w:color w:val="0079C1"/>
      <w:sz w:val="28"/>
    </w:rPr>
  </w:style>
  <w:style w:type="paragraph" w:customStyle="1" w:styleId="MainBodyText">
    <w:name w:val="Main Body Text"/>
    <w:qFormat/>
  </w:style>
  <w:style w:type="paragraph" w:customStyle="1" w:styleId="MainBodyTextNoSpacing">
    <w:name w:val="Main Body Text No Spacing"/>
    <w:basedOn w:val="MainBodyText"/>
    <w:qFormat/>
    <w:pPr>
      <w:spacing w:after="0"/>
      <w:ind w:left="90"/>
    </w:pPr>
    <w:rPr>
      <w:rFonts w:ascii="Calibri (Body)" w:eastAsia="Calibri (Body)" w:hAnsi="Calibri (Body)" w:cs="Calibri (Body)"/>
    </w:rPr>
  </w:style>
  <w:style w:type="paragraph" w:customStyle="1" w:styleId="BodyTextAltSpacing">
    <w:name w:val="Body Text Alt Spacing"/>
    <w:qFormat/>
    <w:pPr>
      <w:spacing w:before="100" w:after="100"/>
    </w:pPr>
  </w:style>
  <w:style w:type="paragraph" w:customStyle="1" w:styleId="BodyTextSmallSpacing">
    <w:name w:val="Body Text Small Spacing"/>
    <w:qFormat/>
    <w:pPr>
      <w:spacing w:before="10" w:after="10"/>
    </w:pPr>
    <w:rPr>
      <w:rFonts w:ascii="Calibri (Body)" w:eastAsia="Calibri (Body)" w:hAnsi="Calibri (Body)" w:cs="Calibri (Body)"/>
      <w:sz w:val="16"/>
    </w:rPr>
  </w:style>
  <w:style w:type="paragraph" w:customStyle="1" w:styleId="CouponStepBodyTextSmallSpacing">
    <w:name w:val="Coupon Step Body Text Small Spacing"/>
    <w:qFormat/>
    <w:pPr>
      <w:numPr>
        <w:ilvl w:val="1"/>
        <w:numId w:val="1"/>
      </w:numPr>
      <w:spacing w:after="10"/>
      <w:ind w:left="720" w:hanging="300"/>
    </w:pPr>
    <w:rPr>
      <w:rFonts w:ascii="Calibri (Body)" w:eastAsia="Calibri (Body)" w:hAnsi="Calibri (Body)" w:cs="Calibri (Body)"/>
      <w:sz w:val="18"/>
    </w:rPr>
  </w:style>
  <w:style w:type="character" w:customStyle="1" w:styleId="Hyperlink1">
    <w:name w:val="Hyperlink1"/>
    <w:basedOn w:val="DefaultParagraphFont"/>
    <w:uiPriority w:val="99"/>
    <w:unhideWhenUsed/>
    <w:qFormat/>
    <w:rPr>
      <w:color w:val="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bmonotes.com"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dc:creator>
  <cp:keywords/>
  <dc:description/>
  <cp:lastModifiedBy>Louis Ulmer</cp:lastModifiedBy>
  <cp:revision>4</cp:revision>
  <dcterms:created xsi:type="dcterms:W3CDTF">2021-12-12T22:38:00Z</dcterms:created>
  <dcterms:modified xsi:type="dcterms:W3CDTF">2025-02-27T17:26:00Z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164912-68a2-4d1c-9f19-4fddc6fb72a9_Enabled">
    <vt:lpwstr>true</vt:lpwstr>
  </property>
  <property fmtid="{D5CDD505-2E9C-101B-9397-08002B2CF9AE}" pid="3" name="MSIP_Label_d1164912-68a2-4d1c-9f19-4fddc6fb72a9_SetDate">
    <vt:lpwstr>2025-01-27T17:13:29Z</vt:lpwstr>
  </property>
  <property fmtid="{D5CDD505-2E9C-101B-9397-08002B2CF9AE}" pid="4" name="MSIP_Label_d1164912-68a2-4d1c-9f19-4fddc6fb72a9_Method">
    <vt:lpwstr>Standard</vt:lpwstr>
  </property>
  <property fmtid="{D5CDD505-2E9C-101B-9397-08002B2CF9AE}" pid="5" name="MSIP_Label_d1164912-68a2-4d1c-9f19-4fddc6fb72a9_Name">
    <vt:lpwstr>Confidential</vt:lpwstr>
  </property>
  <property fmtid="{D5CDD505-2E9C-101B-9397-08002B2CF9AE}" pid="6" name="MSIP_Label_d1164912-68a2-4d1c-9f19-4fddc6fb72a9_SiteId">
    <vt:lpwstr>ece76e02-a02b-4c4a-906d-98a34c5ce07a</vt:lpwstr>
  </property>
  <property fmtid="{D5CDD505-2E9C-101B-9397-08002B2CF9AE}" pid="7" name="MSIP_Label_d1164912-68a2-4d1c-9f19-4fddc6fb72a9_ActionId">
    <vt:lpwstr>e0d6a7bd-a60d-4662-9b51-5b8244064108</vt:lpwstr>
  </property>
  <property fmtid="{D5CDD505-2E9C-101B-9397-08002B2CF9AE}" pid="8" name="MSIP_Label_d1164912-68a2-4d1c-9f19-4fddc6fb72a9_ContentBits">
    <vt:lpwstr>0</vt:lpwstr>
  </property>
</Properties>
</file>