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q4bxnfrgiim" w:id="0"/>
      <w:bookmarkEnd w:id="0"/>
      <w:r w:rsidDel="00000000" w:rsidR="00000000" w:rsidRPr="00000000">
        <w:rPr>
          <w:rtl w:val="0"/>
        </w:rPr>
        <w:t xml:space="preserve">Daffodil AI website and operations workspace</w:t>
      </w:r>
    </w:p>
    <w:p w:rsidR="00000000" w:rsidDel="00000000" w:rsidP="00000000" w:rsidRDefault="00000000" w:rsidRPr="00000000" w14:paraId="00000002">
      <w:pPr>
        <w:rPr/>
      </w:pPr>
      <w:r w:rsidDel="00000000" w:rsidR="00000000" w:rsidRPr="00000000">
        <w:rPr>
          <w:rtl w:val="0"/>
        </w:rPr>
        <w:t xml:space="preserve">Initial implementation: 8 September 2026. This is a privately published working foundation, with public-facing page designs and a persistent operational workspace. It is not a certification of product readiness or a completed enterprise integration rollout.</w:t>
      </w:r>
    </w:p>
    <w:p w:rsidR="00000000" w:rsidDel="00000000" w:rsidP="00000000" w:rsidRDefault="00000000" w:rsidRPr="00000000" w14:paraId="00000003">
      <w:pPr>
        <w:pStyle w:val="Heading2"/>
        <w:rPr/>
      </w:pPr>
      <w:bookmarkStart w:colFirst="0" w:colLast="0" w:name="_98ybyo707847" w:id="1"/>
      <w:bookmarkEnd w:id="1"/>
      <w:r w:rsidDel="00000000" w:rsidR="00000000" w:rsidRPr="00000000">
        <w:rPr>
          <w:rtl w:val="0"/>
        </w:rPr>
        <w:t xml:space="preserve">Source scope and decisions</w:t>
      </w:r>
    </w:p>
    <w:p w:rsidR="00000000" w:rsidDel="00000000" w:rsidP="00000000" w:rsidRDefault="00000000" w:rsidRPr="00000000" w14:paraId="00000004">
      <w:pPr>
        <w:rPr/>
      </w:pPr>
      <w:r w:rsidDel="00000000" w:rsidR="00000000" w:rsidRPr="00000000">
        <w:rPr>
          <w:rtl w:val="0"/>
        </w:rPr>
        <w:t xml:space="preserve">The supplied Bangla discussion, relevant retrieved prior decisions, selected recent AI/expo emails, ten related Google Drive blueprints, official Daffodil product/heritage pages, event organizer pages and selected IBM, Accenture and NVIDIA pages informed this implementation. This was a targeted review, not an exhaustive audit of every communication, every Drive file or every website.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The ten blueprint links and a requirement coverage matrix are retained under Workspace → Governance &amp; sources. The source links do not grant document access. Private source bodies, personal email conversations and confidential staff details have not been republished as marketing copy.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Four priority products are Perfect HR, AI Professor, Eduvas and LeadershipOS. The transcript's initial “Perfect Teacher” wording was interpreted as Perfect HR using its later wording and retrieved portfolio decisions. Catalogue maturity labels distinguish existing core products, controlled pilots and development roadmaps. The AI Professor expanded architecture, LeadershipOS future modules, AICA/NISA and proposed Product Hub partnerships are not advertised as fully deployed capabilities or confirmed alliances. Public claims still need accountable product-owner sign-off before public launch.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Daffodil's 1990 technology origin supports the 36-year group heritage in 2026. It is not a claim of 36 years of AI or of DIU itself. The Innovation Fair and DCCI AI Summit are kept as separate events. Organizer dates, staff rosters, exhibitor lists and approved logos were not invented.</w:t>
      </w:r>
    </w:p>
    <w:p w:rsidR="00000000" w:rsidDel="00000000" w:rsidP="00000000" w:rsidRDefault="00000000" w:rsidRPr="00000000" w14:paraId="0000000B">
      <w:pPr>
        <w:pStyle w:val="Heading2"/>
        <w:rPr/>
      </w:pPr>
      <w:bookmarkStart w:colFirst="0" w:colLast="0" w:name="_19o0izsz2h8s" w:id="2"/>
      <w:bookmarkEnd w:id="2"/>
      <w:r w:rsidDel="00000000" w:rsidR="00000000" w:rsidRPr="00000000">
        <w:rPr>
          <w:rtl w:val="0"/>
        </w:rPr>
        <w:t xml:space="preserve">Working experience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What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Public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Responsive home, searchable product portfolio, three-way comparison, four product pages, services, audiences, AI Product Hub, insights, expo, contact, about, trust, developer options, privacy and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English/Bangla page copy and form labels; English remains the canonical value for administrative enumerations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Sign in with ChatGPT; signing in does not automatically grant operational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Self-service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Signed-in visitors see the enquiries they submitted while signed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Tenancy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Organization creation by the allowlisted platform administrator; explicit membership; server-side tenant and role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Demo, quotation, student, support, research, partnership and business enquiries; persistent reference, requirements, source, next action and recorded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Expo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Mobile/tablet image selection or camera capture, editable contact details, separately consented visitor photo, private attachments, staff owner and follow-up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Saved enquiry stages, search/filter, opportunity and meeting records, CSV exports, date-based follow-up overview and Odoo delivery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Registers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Exhibitors, staff shifts/readiness, student applications, research/discussions, content/SEO, campaigns/social, tasks, support/privacy and automation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Source register, requirement coverage, role controls, member assignment/revocation and application audit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SEO/social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Page metadata, canonical/language links, organization structured data, sitemap, article pages, share/copy controls, UTM builder and channel registers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Protected internal CRUD endpoints, public catalogue endpoint and a limited read-only catalogue MCP implementation</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Demo workspace contacts and numbers are explicitly illustrative and never inserted into the operational database. Dashboard totals derive from stored records. The workspace currently loads the latest 1,000 leads and 1,000 operational records, and the latest 100 audit events; introduce server pagination/aggregate queries before volumes approach these limits.</w:t>
      </w:r>
    </w:p>
    <w:p w:rsidR="00000000" w:rsidDel="00000000" w:rsidP="00000000" w:rsidRDefault="00000000" w:rsidRPr="00000000" w14:paraId="00000028">
      <w:pPr>
        <w:pStyle w:val="Heading2"/>
        <w:rPr/>
      </w:pPr>
      <w:bookmarkStart w:colFirst="0" w:colLast="0" w:name="_i4ugxqopu7p4" w:id="3"/>
      <w:bookmarkEnd w:id="3"/>
      <w:r w:rsidDel="00000000" w:rsidR="00000000" w:rsidRPr="00000000">
        <w:rPr>
          <w:rtl w:val="0"/>
        </w:rPr>
        <w:t xml:space="preserve">Access and persistence</w:t>
      </w:r>
    </w:p>
    <w:p w:rsidR="00000000" w:rsidDel="00000000" w:rsidP="00000000" w:rsidRDefault="00000000" w:rsidRPr="00000000" w14:paraId="00000029">
      <w:pPr>
        <w:rPr/>
      </w:pPr>
      <w:r w:rsidDel="00000000" w:rsidR="00000000" w:rsidRPr="00000000">
        <w:rPr>
          <w:rtl w:val="0"/>
        </w:rPr>
        <w:t xml:space="preserve">Platform identity comes from the trusted Sites authentication boundary. The server then applies organization membership and role permissions. Owner/Admin can manage operational content; only Owner can assign/revoke members. Sales can handle leads, opportunities, meetings, exhibitors, tasks and tickets. Editors can manage research/content/campaigns/automation, but cannot approve publication. Support has tickets/tasks. Viewer can read the assigned organization.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Membership assignment sends no invitation. The Site is initially accessible only to its owner at the platform layer. Assigning app membership alone does not make the private Site accessible to colleagues. Team sharing or public publication must be configured deliberately at the Sites access layer when ready. The runtime administrator allowlist is configured separately from the repository; changing platform administrators is an operational action.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D1 binding stores tenants, memberships, leads, generic operational records, file metadata, audit events, outbox jobs and rate-limit counters. The </w:t>
      </w:r>
      <w:r w:rsidDel="00000000" w:rsidR="00000000" w:rsidRPr="00000000">
        <w:rPr>
          <w:rFonts w:ascii="Roboto Mono" w:cs="Roboto Mono" w:eastAsia="Roboto Mono" w:hAnsi="Roboto Mono"/>
          <w:color w:val="188038"/>
          <w:rtl w:val="0"/>
        </w:rPr>
        <w:t xml:space="preserve">BUCKET</w:t>
      </w:r>
      <w:r w:rsidDel="00000000" w:rsidR="00000000" w:rsidRPr="00000000">
        <w:rPr>
          <w:rtl w:val="0"/>
        </w:rPr>
        <w:t xml:space="preserve"> R2 binding stores private card/photo attachments. Schema migrations are under </w:t>
      </w:r>
      <w:r w:rsidDel="00000000" w:rsidR="00000000" w:rsidRPr="00000000">
        <w:rPr>
          <w:rFonts w:ascii="Roboto Mono" w:cs="Roboto Mono" w:eastAsia="Roboto Mono" w:hAnsi="Roboto Mono"/>
          <w:color w:val="188038"/>
          <w:rtl w:val="0"/>
        </w:rPr>
        <w:t xml:space="preserve">drizzle/</w:t>
      </w:r>
      <w:r w:rsidDel="00000000" w:rsidR="00000000" w:rsidRPr="00000000">
        <w:rPr>
          <w:rtl w:val="0"/>
        </w:rPr>
        <w:t xml:space="preserve">. Request handlers do not perform DDL. No real leads, tokens or CRM credentials are committed.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Enquiry retries reuse a client request key and the database's tenant/key uniqueness boundary. Generic record updates reject stale versions. Uploads are limited to 5 MB images with type checks, tenant authorization and recorded permission; image content is not analyzed for identity. General intake stores service consent, optional marketing choice and a separate photo choice. No advertising pixels or automatic email/social sends are enabled.</w:t>
      </w:r>
    </w:p>
    <w:p w:rsidR="00000000" w:rsidDel="00000000" w:rsidP="00000000" w:rsidRDefault="00000000" w:rsidRPr="00000000" w14:paraId="00000030">
      <w:pPr>
        <w:pStyle w:val="Heading2"/>
        <w:rPr/>
      </w:pPr>
      <w:bookmarkStart w:colFirst="0" w:colLast="0" w:name="_6qspd96v1yr1" w:id="4"/>
      <w:bookmarkEnd w:id="4"/>
      <w:r w:rsidDel="00000000" w:rsidR="00000000" w:rsidRPr="00000000">
        <w:rPr>
          <w:rtl w:val="0"/>
        </w:rPr>
        <w:t xml:space="preserve">Integration contracts and activation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Required runtime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Current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Odoo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ODOO_URL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ODOO_DB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ODOO_UID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ODOO_API_KEY</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ODOO_COMPANY_ID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An authorized user explicitly sends a queued Daffodil lead. Missing configuration returns a clear unavailable response and retains the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Card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OCR_GATEWAY_URL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OCR_GATEWAY_TOKEN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HTTPS gateway adapter sends a card image and expects JSON </w:t>
            </w:r>
            <w:r w:rsidDel="00000000" w:rsidR="00000000" w:rsidRPr="00000000">
              <w:rPr>
                <w:rFonts w:ascii="Roboto Mono" w:cs="Roboto Mono" w:eastAsia="Roboto Mono" w:hAnsi="Roboto Mono"/>
                <w:color w:val="188038"/>
                <w:rtl w:val="0"/>
              </w:rPr>
              <w:t xml:space="preserve">{ "text": "..." }</w:t>
            </w:r>
            <w:r w:rsidDel="00000000" w:rsidR="00000000" w:rsidRPr="00000000">
              <w:rPr>
                <w:rtl w:val="0"/>
              </w:rPr>
              <w:t xml:space="preserve">. Extracted email/phone remain editable for human review. No provider is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Live AI/RAG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Provider, model, tenant retrieval contracts, evaluations and budget/permission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Not connected. The visible catalogue guide is rule based and says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WhatsApp/email/social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Verified business accounts, API permissions, approved templates, consent and sending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Registers and links only. No messages or posts are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Analytics/Search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Property ownership, consent choices, conversion definitions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Not connected. UTM values can be captured on enquiry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ERP/LMS/HR/GitHub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Institution-specific endpoints, mappings and scoped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Integration specifications only; no external database replication.</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Odoo adapter targets </w:t>
      </w:r>
      <w:r w:rsidDel="00000000" w:rsidR="00000000" w:rsidRPr="00000000">
        <w:rPr>
          <w:rFonts w:ascii="Roboto Mono" w:cs="Roboto Mono" w:eastAsia="Roboto Mono" w:hAnsi="Roboto Mono"/>
          <w:color w:val="188038"/>
          <w:rtl w:val="0"/>
        </w:rPr>
        <w:t xml:space="preserve">crm.lead</w:t>
      </w:r>
      <w:r w:rsidDel="00000000" w:rsidR="00000000" w:rsidRPr="00000000">
        <w:rPr>
          <w:rtl w:val="0"/>
        </w:rPr>
        <w:t xml:space="preserve"> over the JSON-RPC </w:t>
      </w:r>
      <w:r w:rsidDel="00000000" w:rsidR="00000000" w:rsidRPr="00000000">
        <w:rPr>
          <w:rFonts w:ascii="Roboto Mono" w:cs="Roboto Mono" w:eastAsia="Roboto Mono" w:hAnsi="Roboto Mono"/>
          <w:color w:val="188038"/>
          <w:rtl w:val="0"/>
        </w:rPr>
        <w:t xml:space="preserve">execute_kw</w:t>
      </w:r>
      <w:r w:rsidDel="00000000" w:rsidR="00000000" w:rsidRPr="00000000">
        <w:rPr>
          <w:rtl w:val="0"/>
        </w:rPr>
        <w:t xml:space="preserve"> interface. Confirm the chosen Odoo version, hosting plan, API permissions and required custom fields before connecting. This connection is restricted to the Daffodil tenant; additional tenants need distinct connections and credentials. It does not synchronize opportunities, quotes, payments, attachments or deletions.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Website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Odoo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Organization + product + unique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including </w:t>
            </w:r>
            <w:r w:rsidDel="00000000" w:rsidR="00000000" w:rsidRPr="00000000">
              <w:rPr>
                <w:rFonts w:ascii="Roboto Mono" w:cs="Roboto Mono" w:eastAsia="Roboto Mono" w:hAnsi="Roboto Mono"/>
                <w:color w:val="188038"/>
                <w:rtl w:val="0"/>
              </w:rPr>
              <w:t xml:space="preserve">[DAI-…]</w:t>
            </w:r>
            <w:r w:rsidDel="00000000" w:rsidR="00000000" w:rsidRPr="00000000">
              <w:rPr>
                <w:rtl w:val="0"/>
              </w:rPr>
              <w:t xml:space="preserve">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Visitor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contact_name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partner_name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Email /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email_from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Requirements, action, consent timestamp and marketing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Optional company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company_id</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Delivery moves Pending/Failed → Sending → Sent or Failed. Before creating a lead, it searches for the unique reference to reconcile a retry. A process interruption can leave Sending unresolved: an operator must reconcile Odoo by reference before resetting that job for retry. A credential being present is not proof that delivery works. Test with synthetic records in an approved Odoo test environment before real use.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GET /api/catalog</w:t>
      </w:r>
      <w:r w:rsidDel="00000000" w:rsidR="00000000" w:rsidRPr="00000000">
        <w:rPr>
          <w:rtl w:val="0"/>
        </w:rPr>
        <w:t xml:space="preserve"> returns public product information. </w:t>
      </w:r>
      <w:r w:rsidDel="00000000" w:rsidR="00000000" w:rsidRPr="00000000">
        <w:rPr>
          <w:rFonts w:ascii="Roboto Mono" w:cs="Roboto Mono" w:eastAsia="Roboto Mono" w:hAnsi="Roboto Mono"/>
          <w:color w:val="188038"/>
          <w:rtl w:val="0"/>
        </w:rPr>
        <w:t xml:space="preserve">/api/mcp</w:t>
      </w:r>
      <w:r w:rsidDel="00000000" w:rsidR="00000000" w:rsidRPr="00000000">
        <w:rPr>
          <w:rtl w:val="0"/>
        </w:rPr>
        <w:t xml:space="preserve"> implements initialize, ping, tools/list and tools/call for </w:t>
      </w:r>
      <w:r w:rsidDel="00000000" w:rsidR="00000000" w:rsidRPr="00000000">
        <w:rPr>
          <w:rFonts w:ascii="Roboto Mono" w:cs="Roboto Mono" w:eastAsia="Roboto Mono" w:hAnsi="Roboto Mono"/>
          <w:color w:val="188038"/>
          <w:rtl w:val="0"/>
        </w:rPr>
        <w:t xml:space="preserve">list_products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get_product</w:t>
      </w:r>
      <w:r w:rsidDel="00000000" w:rsidR="00000000" w:rsidRPr="00000000">
        <w:rPr>
          <w:rtl w:val="0"/>
        </w:rPr>
        <w:t xml:space="preserve"> only. It exposes no CRM or personal data. This is a limited stateless JSON response foundation, not certified full MCP transport interoperability or an enterprise OAuth service. Validate against the intended client/version before advertising compatibility. Private Site access still surrounds these routes.</w:t>
      </w:r>
    </w:p>
    <w:p w:rsidR="00000000" w:rsidDel="00000000" w:rsidP="00000000" w:rsidRDefault="00000000" w:rsidRPr="00000000" w14:paraId="0000005B">
      <w:pPr>
        <w:pStyle w:val="Heading2"/>
        <w:rPr/>
      </w:pPr>
      <w:bookmarkStart w:colFirst="0" w:colLast="0" w:name="_9mocxzhddch6" w:id="5"/>
      <w:bookmarkEnd w:id="5"/>
      <w:r w:rsidDel="00000000" w:rsidR="00000000" w:rsidRPr="00000000">
        <w:rPr>
          <w:rtl w:val="0"/>
        </w:rPr>
        <w:t xml:space="preserve">Launch work still required</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Product owners verify module readiness, claims, prices/currencies, supported markets, demo material and a definitive four-product naming list.</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Supply approved staff identities/photos, event/exhibitor records, contact routing, customer evidence and official design assets. Use the workspace forms; don't seed invented contacts.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Configure and test Odoo/OCR with approved credentials, then separately design live AI, retrieval, messaging, social publishing and analytics. Automation records do not execute scheduled jobs. Editorial statuses do not automatically change public pages or publish externally.</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Agree privacy retention, deletion handling, hosting/data location, subprocessors, commercial terms and actual response commitments. Intake and register fields are an implementation aid, not jurisdictional certification.</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Complete keyboard/screen-reader, mobile/tablet/browser, tenant penetration, rate/abuse, backup/restore and end-to-end integration acceptance. This iteration used build/type checks and actual-handler SQL tests; no interactive browser or live external integration test was performed.</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Add production requirements as needed: institution SSO/MFA enforcement, finer authority hierarchies, record ownership restrictions, audit export/immutability, automated retention, billing/subscriptions, localization review and pagination.</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For the authorized public launch, choose the Daffodil domain/subdomain, configure access and canonical base URLs, approve public content, then change the staging </w:t>
      </w:r>
      <w:r w:rsidDel="00000000" w:rsidR="00000000" w:rsidRPr="00000000">
        <w:rPr>
          <w:rFonts w:ascii="Roboto Mono" w:cs="Roboto Mono" w:eastAsia="Roboto Mono" w:hAnsi="Roboto Mono"/>
          <w:color w:val="188038"/>
          <w:rtl w:val="0"/>
        </w:rPr>
        <w:t xml:space="preserve">noindex</w:t>
      </w:r>
      <w:r w:rsidDel="00000000" w:rsidR="00000000" w:rsidRPr="00000000">
        <w:rPr>
          <w:rtl w:val="0"/>
        </w:rPr>
        <w:t xml:space="preserve"> metadata and robots rules. Keep </w:t>
      </w:r>
      <w:r w:rsidDel="00000000" w:rsidR="00000000" w:rsidRPr="00000000">
        <w:rPr>
          <w:rFonts w:ascii="Roboto Mono" w:cs="Roboto Mono" w:eastAsia="Roboto Mono" w:hAnsi="Roboto Mono"/>
          <w:color w:val="188038"/>
          <w:rtl w:val="0"/>
        </w:rPr>
        <w:t xml:space="preserve">/portal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/demo</w:t>
      </w:r>
      <w:r w:rsidDel="00000000" w:rsidR="00000000" w:rsidRPr="00000000">
        <w:rPr>
          <w:rtl w:val="0"/>
        </w:rPr>
        <w:t xml:space="preserve">, private files and operational APIs excluded. Submit the sitemap and verify Search Console afterward. Organic visibility or social reach is not guaranteed by implementation.</w:t>
      </w:r>
    </w:p>
    <w:p w:rsidR="00000000" w:rsidDel="00000000" w:rsidP="00000000" w:rsidRDefault="00000000" w:rsidRPr="00000000" w14:paraId="00000063">
      <w:pPr>
        <w:pStyle w:val="Heading2"/>
        <w:rPr/>
      </w:pPr>
      <w:bookmarkStart w:colFirst="0" w:colLast="0" w:name="_4g3mtrkson9i" w:id="6"/>
      <w:bookmarkEnd w:id="6"/>
      <w:r w:rsidDel="00000000" w:rsidR="00000000" w:rsidRPr="00000000">
        <w:rPr>
          <w:rtl w:val="0"/>
        </w:rPr>
        <w:t xml:space="preserve">Verification retained with the source</w:t>
      </w:r>
    </w:p>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tests/api-permissions.test.mjs</w:t>
      </w:r>
      <w:r w:rsidDel="00000000" w:rsidR="00000000" w:rsidRPr="00000000">
        <w:rPr>
          <w:rtl w:val="0"/>
        </w:rPr>
        <w:t xml:space="preserve"> exercises actual request handlers against the actual migration SQL in an isolated SQLite database. Platform headers, D1 transport and object storage are substituted. It verifies consent, persistence, duplicate retry handling, self-service isolation, tenant separation, role boundaries, private attachment permission, unconfigured Odoo handling, stale-edit rejection, origin checks and public-only MCP output. It sends nothing to external accounts.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project uses the Sites/vinext build pipeline. Build output and migrations are packaged from the same source revision that is privately published. Runtime storage provisioning is performed by Sites at deployment.</w:t>
      </w:r>
    </w:p>
    <w:p w:rsidR="00000000" w:rsidDel="00000000" w:rsidP="00000000" w:rsidRDefault="00000000" w:rsidRPr="00000000" w14:paraId="00000067">
      <w:pPr>
        <w:pStyle w:val="Heading2"/>
        <w:rPr/>
      </w:pPr>
      <w:bookmarkStart w:colFirst="0" w:colLast="0" w:name="_4h9h7odasmdk" w:id="7"/>
      <w:bookmarkEnd w:id="7"/>
      <w:r w:rsidDel="00000000" w:rsidR="00000000" w:rsidRPr="00000000">
        <w:rPr>
          <w:rtl w:val="0"/>
        </w:rPr>
        <w:t xml:space="preserve">Photo credit</w:t>
      </w:r>
    </w:p>
    <w:p w:rsidR="00000000" w:rsidDel="00000000" w:rsidP="00000000" w:rsidRDefault="00000000" w:rsidRPr="00000000" w14:paraId="00000068">
      <w:pPr>
        <w:rPr/>
      </w:pPr>
      <w:r w:rsidDel="00000000" w:rsidR="00000000" w:rsidRPr="00000000">
        <w:rPr>
          <w:rtl w:val="0"/>
        </w:rPr>
        <w:t xml:space="preserve">Campus photograph: Tanvir Rahat, “Daffodil International University 6,” Wikimedia Commons, CC BY-SA 4.0. Source: </w:t>
      </w:r>
      <w:hyperlink r:id="rId6">
        <w:r w:rsidDel="00000000" w:rsidR="00000000" w:rsidRPr="00000000">
          <w:rPr>
            <w:color w:val="1155cc"/>
            <w:u w:val="single"/>
            <w:rtl w:val="0"/>
          </w:rPr>
          <w:t xml:space="preserve">https://commons.wikimedia.org/wiki/File:Daffodil_International_University_6.jpg</w:t>
        </w:r>
      </w:hyperlink>
      <w:r w:rsidDel="00000000" w:rsidR="00000000" w:rsidRPr="00000000">
        <w:rPr>
          <w:rtl w:val="0"/>
        </w:rPr>
        <w:t xml:space="preserve"> . Displayed with a crop and converted to WebP. The public About page retains attribution and the license link. This is a campus photograph, not a representation of an AI laboratory or product installation.</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mmons.wikimedia.org/wiki/File:Daffodil_International_University_6.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