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Dariabandha Master Plan v2.1 Addendum</w:t>
      </w:r>
    </w:p>
    <w:p>
      <w:pPr/>
      <w:r>
        <w:t xml:space="preserve">Version 2.1 • LOCKED • 22 October 2026 • Amends v2.0 (v2.0 stays valid except where this addendum says otherwise)</w:t>
      </w:r>
    </w:p>
    <w:p>
      <w:pPr/>
      <w:r>
        <w:t xml:space="preserve">This addendum records which of the outside suggestions were accepted, adjusted, deferred or rejected. The rule used: accept only what is free, runs in a browser, needs little code, and never changes rules, speed, reach or fairness.</w:t>
      </w:r>
    </w:p>
    <w:p>
      <w:pPr>
        <w:pStyle w:val="Heading2"/>
      </w:pPr>
      <w:r>
        <w:t xml:space="preserve">1. Decisions</w:t>
      </w:r>
    </w:p>
    <w:tbl>
      <w:tblPr>
        <w:tblStyle w:val="TableGrid"/>
        <w:tblW w:w="0" w:type="auto"/>
        <w:tblLayout w:type="fixed"/>
        <w:tblLook w:val="04A0" w:firstRow="1" w:lastRow="0" w:firstColumn="0" w:lastColumn="0" w:noHBand="0" w:noVBand="1"/>
      </w:tblPr>
      <w:tblGrid>
        <w:gridCol w:w="720"/>
        <w:gridCol w:w="2199"/>
        <w:gridCol w:w="1521"/>
        <w:gridCol w:w="4920"/>
      </w:tblGrid>
      <w:tr>
        <w:trPr>
          <w:tblHeader/>
        </w:trPr>
        <w:tc>
          <w:tcPr>
            <w:tcW w:w="720" w:type="dxa"/>
            <w:shd w:val="clear" w:color="auto" w:fill="F2F2F2"/>
          </w:tcPr>
          <w:p>
            <w:pPr/>
            <w:r>
              <w:t xml:space="preserve">ID</w:t>
            </w:r>
          </w:p>
        </w:tc>
        <w:tc>
          <w:tcPr>
            <w:tcW w:w="2199" w:type="dxa"/>
            <w:shd w:val="clear" w:color="auto" w:fill="F2F2F2"/>
          </w:tcPr>
          <w:p>
            <w:pPr/>
            <w:r>
              <w:t xml:space="preserve">Suggestion</w:t>
            </w:r>
          </w:p>
        </w:tc>
        <w:tc>
          <w:tcPr>
            <w:tcW w:w="1521" w:type="dxa"/>
            <w:shd w:val="clear" w:color="auto" w:fill="F2F2F2"/>
          </w:tcPr>
          <w:p>
            <w:pPr/>
            <w:r>
              <w:t xml:space="preserve">Decision</w:t>
            </w:r>
          </w:p>
        </w:tc>
        <w:tc>
          <w:tcPr>
            <w:tcW w:w="4920" w:type="dxa"/>
            <w:shd w:val="clear" w:color="auto" w:fill="F2F2F2"/>
          </w:tcPr>
          <w:p>
            <w:pPr/>
            <w:r>
              <w:t xml:space="preserve">How it is built (v2.0 section it amends)</w:t>
            </w:r>
          </w:p>
        </w:tc>
      </w:tr>
      <w:tr>
        <w:tc>
          <w:tcPr>
            <w:tcW w:w="720" w:type="dxa"/>
          </w:tcPr>
          <w:p>
            <w:pPr/>
            <w:r>
              <w:t xml:space="preserve">A1</w:t>
            </w:r>
          </w:p>
        </w:tc>
        <w:tc>
          <w:tcPr>
            <w:tcW w:w="2199" w:type="dxa"/>
          </w:tcPr>
          <w:p>
            <w:pPr/>
            <w:r>
              <w:t xml:space="preserve">Rain, wet look, mud</w:t>
            </w:r>
          </w:p>
        </w:tc>
        <w:tc>
          <w:tcPr>
            <w:tcW w:w="1521" w:type="dxa"/>
          </w:tcPr>
          <w:p>
            <w:pPr/>
            <w:r>
              <w:t xml:space="preserve">ACCEPTED (reduced)</w:t>
            </w:r>
          </w:p>
        </w:tc>
        <w:tc>
          <w:tcPr>
            <w:tcW w:w="4920" w:type="dxa"/>
          </w:tcPr>
          <w:p>
            <w:pPr/>
            <w:r>
              <w:t xml:space="preserve">Rain particles already exist (24.1). Add a mud tint on athletes' lower legs that builds up over a match on the Village field, High preset only. Puddle reflections and wet shaders are REJECTED (cost on phones). Visual only; movement is identical (13.2).</w:t>
            </w:r>
          </w:p>
        </w:tc>
      </w:tr>
      <w:tr>
        <w:tc>
          <w:tcPr>
            <w:tcW w:w="720" w:type="dxa"/>
          </w:tcPr>
          <w:p>
            <w:pPr/>
            <w:r>
              <w:t xml:space="preserve">A2</w:t>
            </w:r>
          </w:p>
        </w:tc>
        <w:tc>
          <w:tcPr>
            <w:tcW w:w="2199" w:type="dxa"/>
          </w:tcPr>
          <w:p>
            <w:pPr/>
            <w:r>
              <w:t xml:space="preserve">Crowd and sideline life</w:t>
            </w:r>
          </w:p>
        </w:tc>
        <w:tc>
          <w:tcPr>
            <w:tcW w:w="1521" w:type="dxa"/>
          </w:tcPr>
          <w:p>
            <w:pPr/>
            <w:r>
              <w:t xml:space="preserve">ACCEPTED</w:t>
            </w:r>
          </w:p>
        </w:tc>
        <w:tc>
          <w:tcPr>
            <w:tcW w:w="4920" w:type="dxa"/>
          </w:tcPr>
          <w:p>
            <w:pPr/>
            <w:r>
              <w:t xml:space="preserve">Instanced low-poly crowd and sideline props: school children, bamboo benches, paper bunting, a tea stall (24.1). Crowd cheers on a point and gasps on a near-miss under 0.2 m. Crowd is off on Low. Reactions are cosmetic and driven by rule events.</w:t>
            </w:r>
          </w:p>
        </w:tc>
      </w:tr>
      <w:tr>
        <w:tc>
          <w:tcPr>
            <w:tcW w:w="720" w:type="dxa"/>
          </w:tcPr>
          <w:p>
            <w:pPr/>
            <w:r>
              <w:t xml:space="preserve">A3</w:t>
            </w:r>
          </w:p>
        </w:tc>
        <w:tc>
          <w:tcPr>
            <w:tcW w:w="2199" w:type="dxa"/>
          </w:tcPr>
          <w:p>
            <w:pPr/>
            <w:r>
              <w:t xml:space="preserve">FMOD / Wwise audio</w:t>
            </w:r>
          </w:p>
        </w:tc>
        <w:tc>
          <w:tcPr>
            <w:tcW w:w="1521" w:type="dxa"/>
          </w:tcPr>
          <w:p>
            <w:pPr/>
            <w:r>
              <w:t xml:space="preserve">REJECTED</w:t>
            </w:r>
          </w:p>
        </w:tc>
        <w:tc>
          <w:tcPr>
            <w:tcW w:w="4920" w:type="dxa"/>
          </w:tcPr>
          <w:p>
            <w:pPr/>
            <w:r>
              <w:t xml:space="preserve">Not web-compatible and not free. Web Audio API synthesis stays (D28, 22.8).</w:t>
            </w:r>
          </w:p>
        </w:tc>
      </w:tr>
      <w:tr>
        <w:tc>
          <w:tcPr>
            <w:tcW w:w="720" w:type="dxa"/>
          </w:tcPr>
          <w:p>
            <w:pPr/>
            <w:r>
              <w:t xml:space="preserve">A4</w:t>
            </w:r>
          </w:p>
        </w:tc>
        <w:tc>
          <w:tcPr>
            <w:tcW w:w="2199" w:type="dxa"/>
          </w:tcPr>
          <w:p>
            <w:pPr/>
            <w:r>
              <w:t xml:space="preserve">Footstep surfaces</w:t>
            </w:r>
          </w:p>
        </w:tc>
        <w:tc>
          <w:tcPr>
            <w:tcW w:w="1521" w:type="dxa"/>
          </w:tcPr>
          <w:p>
            <w:pPr/>
            <w:r>
              <w:t xml:space="preserve">ACCEPTED</w:t>
            </w:r>
          </w:p>
        </w:tc>
        <w:tc>
          <w:tcPr>
            <w:tcW w:w="4920" w:type="dxa"/>
          </w:tcPr>
          <w:p>
            <w:pPr/>
            <w:r>
              <w:t xml:space="preserve">Add wet-mud steps (rain) and brick-dust steps (school) to the existing earth, grass and chalk set (24.4). Audio only.</w:t>
            </w:r>
          </w:p>
        </w:tc>
      </w:tr>
      <w:tr>
        <w:tc>
          <w:tcPr>
            <w:tcW w:w="720" w:type="dxa"/>
          </w:tcPr>
          <w:p>
            <w:pPr/>
            <w:r>
              <w:t xml:space="preserve">A5</w:t>
            </w:r>
          </w:p>
        </w:tc>
        <w:tc>
          <w:tcPr>
            <w:tcW w:w="2199" w:type="dxa"/>
          </w:tcPr>
          <w:p>
            <w:pPr/>
            <w:r>
              <w:t xml:space="preserve">Voice lines</w:t>
            </w:r>
          </w:p>
        </w:tc>
        <w:tc>
          <w:tcPr>
            <w:tcW w:w="1521" w:type="dxa"/>
          </w:tcPr>
          <w:p>
            <w:pPr/>
            <w:r>
              <w:t xml:space="preserve">ADJUSTED</w:t>
            </w:r>
          </w:p>
        </w:tc>
        <w:tc>
          <w:tcPr>
            <w:tcW w:w="4920" w:type="dxa"/>
          </w:tcPr>
          <w:p>
            <w:pPr/>
            <w:r>
              <w:t xml:space="preserve">No recorded voice. Calls like "Gadi!" and "Sikka Shoi!" use the synthesised chant plus a banner. Teammate warnings ("Watch the spine!", "Tag incoming!") appear as text banners with a sound blip, bilingual.</w:t>
            </w:r>
          </w:p>
        </w:tc>
      </w:tr>
      <w:tr>
        <w:tc>
          <w:tcPr>
            <w:tcW w:w="720" w:type="dxa"/>
          </w:tcPr>
          <w:p>
            <w:pPr/>
            <w:r>
              <w:t xml:space="preserve">A6</w:t>
            </w:r>
          </w:p>
        </w:tc>
        <w:tc>
          <w:tcPr>
            <w:tcW w:w="2199" w:type="dxa"/>
          </w:tcPr>
          <w:p>
            <w:pPr/>
            <w:r>
              <w:t xml:space="preserve">Impact and breath audio</w:t>
            </w:r>
          </w:p>
        </w:tc>
        <w:tc>
          <w:tcPr>
            <w:tcW w:w="1521" w:type="dxa"/>
          </w:tcPr>
          <w:p>
            <w:pPr/>
            <w:r>
              <w:t xml:space="preserve">ACCEPTED</w:t>
            </w:r>
          </w:p>
        </w:tc>
        <w:tc>
          <w:tcPr>
            <w:tcW w:w="4920" w:type="dxa"/>
          </w:tcPr>
          <w:p>
            <w:pPr/>
            <w:r>
              <w:t xml:space="preserve">Tag slap, void buzz, foot-on-line thud exist. Add breathless panting when stamina is under 25, with a HUD pulse so it is not audio-only (13.5). Simple stereo panning via Web Audio PannerNode.</w:t>
            </w:r>
          </w:p>
        </w:tc>
      </w:tr>
      <w:tr>
        <w:tc>
          <w:tcPr>
            <w:tcW w:w="720" w:type="dxa"/>
          </w:tcPr>
          <w:p>
            <w:pPr/>
            <w:r>
              <w:t xml:space="preserve">A7</w:t>
            </w:r>
          </w:p>
        </w:tc>
        <w:tc>
          <w:tcPr>
            <w:tcW w:w="2199" w:type="dxa"/>
          </w:tcPr>
          <w:p>
            <w:pPr/>
            <w:r>
              <w:t xml:space="preserve">Lane and tag-cone highlight</w:t>
            </w:r>
          </w:p>
        </w:tc>
        <w:tc>
          <w:tcPr>
            <w:tcW w:w="1521" w:type="dxa"/>
          </w:tcPr>
          <w:p>
            <w:pPr/>
            <w:r>
              <w:t xml:space="preserve">ACCEPTED</w:t>
            </w:r>
          </w:p>
        </w:tc>
        <w:tc>
          <w:tcPr>
            <w:tcW w:w="4920" w:type="dxa"/>
          </w:tcPr>
          <w:p>
            <w:pPr/>
            <w:r>
              <w:t xml:space="preserve">Optional ground highlight of your own lane range and tag cone. Shows only your own information, never hidden state. On by default in Traditional and tutorial, off by default in Competitive (setting).</w:t>
            </w:r>
          </w:p>
        </w:tc>
      </w:tr>
      <w:tr>
        <w:tc>
          <w:tcPr>
            <w:tcW w:w="720" w:type="dxa"/>
          </w:tcPr>
          <w:p>
            <w:pPr/>
            <w:r>
              <w:t xml:space="preserve">A8</w:t>
            </w:r>
          </w:p>
        </w:tc>
        <w:tc>
          <w:tcPr>
            <w:tcW w:w="2199" w:type="dxa"/>
          </w:tcPr>
          <w:p>
            <w:pPr/>
            <w:r>
              <w:t xml:space="preserve">Colour-blind and high-contrast</w:t>
            </w:r>
          </w:p>
        </w:tc>
        <w:tc>
          <w:tcPr>
            <w:tcW w:w="1521" w:type="dxa"/>
          </w:tcPr>
          <w:p>
            <w:pPr/>
            <w:r>
              <w:t xml:space="preserve">ACCEPTED</w:t>
            </w:r>
          </w:p>
        </w:tc>
        <w:tc>
          <w:tcPr>
            <w:tcW w:w="4920" w:type="dxa"/>
          </w:tcPr>
          <w:p>
            <w:pPr/>
            <w:r>
              <w:t xml:space="preserve">Line colour options (white, neon yellow, cyan) plus pattern-based team kits (already required). Added to 13.7.</w:t>
            </w:r>
          </w:p>
        </w:tc>
      </w:tr>
      <w:tr>
        <w:tc>
          <w:tcPr>
            <w:tcW w:w="720" w:type="dxa"/>
          </w:tcPr>
          <w:p>
            <w:pPr/>
            <w:r>
              <w:t xml:space="preserve">A9</w:t>
            </w:r>
          </w:p>
        </w:tc>
        <w:tc>
          <w:tcPr>
            <w:tcW w:w="2199" w:type="dxa"/>
          </w:tcPr>
          <w:p>
            <w:pPr/>
            <w:r>
              <w:t xml:space="preserve">Academy drills</w:t>
            </w:r>
          </w:p>
        </w:tc>
        <w:tc>
          <w:tcPr>
            <w:tcW w:w="1521" w:type="dxa"/>
          </w:tcPr>
          <w:p>
            <w:pPr/>
            <w:r>
              <w:t xml:space="preserve">ADJUSTED</w:t>
            </w:r>
          </w:p>
        </w:tc>
        <w:tc>
          <w:tcPr>
            <w:tcW w:w="4920" w:type="dxa"/>
          </w:tcPr>
          <w:p>
            <w:pPr/>
            <w:r>
              <w:t xml:space="preserve">Fits the existing five drills (24.3). "Spine Dodge" = Sikka spine drill played as an attacker. "Perfect Hold" = line discipline drill with the 0.5 s hold check. "Decoy Timing" is DEFERRED to v1.3 (needs coordinator tooling).</w:t>
            </w:r>
          </w:p>
        </w:tc>
      </w:tr>
      <w:tr>
        <w:tc>
          <w:tcPr>
            <w:tcW w:w="720" w:type="dxa"/>
          </w:tcPr>
          <w:p>
            <w:pPr/>
            <w:r>
              <w:t xml:space="preserve">A10</w:t>
            </w:r>
          </w:p>
        </w:tc>
        <w:tc>
          <w:tcPr>
            <w:tcW w:w="2199" w:type="dxa"/>
          </w:tcPr>
          <w:p>
            <w:pPr/>
            <w:r>
              <w:t xml:space="preserve">Overhead tactical camera</w:t>
            </w:r>
          </w:p>
        </w:tc>
        <w:tc>
          <w:tcPr>
            <w:tcW w:w="1521" w:type="dxa"/>
          </w:tcPr>
          <w:p>
            <w:pPr/>
            <w:r>
              <w:t xml:space="preserve">ACCEPTED (limited)</w:t>
            </w:r>
          </w:p>
        </w:tc>
        <w:tc>
          <w:tcPr>
            <w:tcW w:w="4920" w:type="dxa"/>
          </w:tcPr>
          <w:p>
            <w:pPr/>
            <w:r>
              <w:t xml:space="preserve">Orthographic top-down camera for replay and spectate only, never a live advantage for a player (11.3).</w:t>
            </w:r>
          </w:p>
        </w:tc>
      </w:tr>
      <w:tr>
        <w:tc>
          <w:tcPr>
            <w:tcW w:w="720" w:type="dxa"/>
          </w:tcPr>
          <w:p>
            <w:pPr/>
            <w:r>
              <w:t xml:space="preserve">A11</w:t>
            </w:r>
          </w:p>
        </w:tc>
        <w:tc>
          <w:tcPr>
            <w:tcW w:w="2199" w:type="dxa"/>
          </w:tcPr>
          <w:p>
            <w:pPr/>
            <w:r>
              <w:t xml:space="preserve">Action-cam auto-tracking</w:t>
            </w:r>
          </w:p>
        </w:tc>
        <w:tc>
          <w:tcPr>
            <w:tcW w:w="1521" w:type="dxa"/>
          </w:tcPr>
          <w:p>
            <w:pPr/>
            <w:r>
              <w:t xml:space="preserve">ACCEPTED (simple)</w:t>
            </w:r>
          </w:p>
        </w:tc>
        <w:tc>
          <w:tcPr>
            <w:tcW w:w="4920" w:type="dxa"/>
          </w:tcPr>
          <w:p>
            <w:pPr/>
            <w:r>
              <w:t xml:space="preserve">Replay and spectate camera follows the attacker nearest a guard lane.</w:t>
            </w:r>
          </w:p>
        </w:tc>
      </w:tr>
      <w:tr>
        <w:tc>
          <w:tcPr>
            <w:tcW w:w="720" w:type="dxa"/>
          </w:tcPr>
          <w:p>
            <w:pPr/>
            <w:r>
              <w:t xml:space="preserve">A12</w:t>
            </w:r>
          </w:p>
        </w:tc>
        <w:tc>
          <w:tcPr>
            <w:tcW w:w="2199" w:type="dxa"/>
          </w:tcPr>
          <w:p>
            <w:pPr/>
            <w:r>
              <w:t xml:space="preserve">Heatmaps and live overlays</w:t>
            </w:r>
          </w:p>
        </w:tc>
        <w:tc>
          <w:tcPr>
            <w:tcW w:w="1521" w:type="dxa"/>
          </w:tcPr>
          <w:p>
            <w:pPr/>
            <w:r>
              <w:t xml:space="preserve">ADJUSTED</w:t>
            </w:r>
          </w:p>
        </w:tc>
        <w:tc>
          <w:tcPr>
            <w:tcW w:w="4920" w:type="dxa"/>
          </w:tcPr>
          <w:p>
            <w:pPr/>
            <w:r>
              <w:t xml:space="preserve">Post-match heatmap and stats page (M6). Live sprint-vector overlay DEFERRED.</w:t>
            </w:r>
          </w:p>
        </w:tc>
      </w:tr>
      <w:tr>
        <w:tc>
          <w:tcPr>
            <w:tcW w:w="720" w:type="dxa"/>
          </w:tcPr>
          <w:p>
            <w:pPr/>
            <w:r>
              <w:t xml:space="preserve">A13</w:t>
            </w:r>
          </w:p>
        </w:tc>
        <w:tc>
          <w:tcPr>
            <w:tcW w:w="2199" w:type="dxa"/>
          </w:tcPr>
          <w:p>
            <w:pPr/>
            <w:r>
              <w:t xml:space="preserve">Frame-by-frame review</w:t>
            </w:r>
          </w:p>
        </w:tc>
        <w:tc>
          <w:tcPr>
            <w:tcW w:w="1521" w:type="dxa"/>
          </w:tcPr>
          <w:p>
            <w:pPr/>
            <w:r>
              <w:t xml:space="preserve">ACCEPTED</w:t>
            </w:r>
          </w:p>
        </w:tc>
        <w:tc>
          <w:tcPr>
            <w:tcW w:w="4920" w:type="dxa"/>
          </w:tcPr>
          <w:p>
            <w:pPr/>
            <w:r>
              <w:t xml:space="preserve">Replay viewer steps tick by tick and draws capsules and foot circles at the contact tick. Easy because replays re-simulate deterministically (L4, D32).</w:t>
            </w:r>
          </w:p>
        </w:tc>
      </w:tr>
      <w:tr>
        <w:tc>
          <w:tcPr>
            <w:tcW w:w="720" w:type="dxa"/>
          </w:tcPr>
          <w:p>
            <w:pPr/>
            <w:r>
              <w:t xml:space="preserve">A14</w:t>
            </w:r>
          </w:p>
        </w:tc>
        <w:tc>
          <w:tcPr>
            <w:tcW w:w="2199" w:type="dxa"/>
          </w:tcPr>
          <w:p>
            <w:pPr/>
            <w:r>
              <w:t xml:space="preserve">120 ms lag-comp cap</w:t>
            </w:r>
          </w:p>
        </w:tc>
        <w:tc>
          <w:tcPr>
            <w:tcW w:w="1521" w:type="dxa"/>
          </w:tcPr>
          <w:p>
            <w:pPr/>
            <w:r>
              <w:t xml:space="preserve">ALREADY IN PLAN</w:t>
            </w:r>
          </w:p>
        </w:tc>
        <w:tc>
          <w:tcPr>
            <w:tcW w:w="4920" w:type="dxa"/>
          </w:tcPr>
          <w:p>
            <w:pPr/>
            <w:r>
              <w:t xml:space="preserve">14.2 and Section 25. No change.</w:t>
            </w:r>
          </w:p>
        </w:tc>
      </w:tr>
      <w:tr>
        <w:tc>
          <w:tcPr>
            <w:tcW w:w="720" w:type="dxa"/>
          </w:tcPr>
          <w:p>
            <w:pPr/>
            <w:r>
              <w:t xml:space="preserve">A15</w:t>
            </w:r>
          </w:p>
        </w:tc>
        <w:tc>
          <w:tcPr>
            <w:tcW w:w="2199" w:type="dxa"/>
          </w:tcPr>
          <w:p>
            <w:pPr/>
            <w:r>
              <w:t xml:space="preserve">Binary input logs</w:t>
            </w:r>
          </w:p>
        </w:tc>
        <w:tc>
          <w:tcPr>
            <w:tcW w:w="1521" w:type="dxa"/>
          </w:tcPr>
          <w:p>
            <w:pPr/>
            <w:r>
              <w:t xml:space="preserve">ACCEPTED (small)</w:t>
            </w:r>
          </w:p>
        </w:tc>
        <w:tc>
          <w:tcPr>
            <w:tcW w:w="4920" w:type="dxa"/>
          </w:tcPr>
          <w:p>
            <w:pPr/>
            <w:r>
              <w:t xml:space="preserve">Pack replay inputs into a compact binary format (22.9).</w:t>
            </w:r>
          </w:p>
        </w:tc>
      </w:tr>
      <w:tr>
        <w:tc>
          <w:tcPr>
            <w:tcW w:w="720" w:type="dxa"/>
          </w:tcPr>
          <w:p>
            <w:pPr/>
            <w:r>
              <w:t xml:space="preserve">A16</w:t>
            </w:r>
          </w:p>
        </w:tc>
        <w:tc>
          <w:tcPr>
            <w:tcW w:w="2199" w:type="dxa"/>
          </w:tcPr>
          <w:p>
            <w:pPr/>
            <w:r>
              <w:t xml:space="preserve">Cloud tournament validation</w:t>
            </w:r>
          </w:p>
        </w:tc>
        <w:tc>
          <w:tcPr>
            <w:tcW w:w="1521" w:type="dxa"/>
          </w:tcPr>
          <w:p>
            <w:pPr/>
            <w:r>
              <w:t xml:space="preserve">DEFERRED</w:t>
            </w:r>
          </w:p>
        </w:tc>
        <w:tc>
          <w:tcPr>
            <w:tcW w:w="4920" w:type="dxa"/>
          </w:tcPr>
          <w:p>
            <w:pPr/>
            <w:r>
              <w:t xml:space="preserve">Needs a server; considered with v1.2 ranked. Re-simulating a replay is the validation method.</w:t>
            </w:r>
          </w:p>
        </w:tc>
      </w:tr>
    </w:tbl>
    <w:p>
      <w:pPr>
        <w:pStyle w:val="Heading2"/>
      </w:pPr>
      <w:r>
        <w:t xml:space="preserve">2. Effect on build order</w:t>
      </w:r>
    </w:p>
    <w:p>
      <w:pPr/>
      <w:r>
        <w:t xml:space="preserve">No new build steps. Items land in existing steps: A1, A2, A4 to A6 in B6; A7 and A8 in B7; A9 in B7; A10, A11, A13, A15 in B6 with the replay viewer; A12 in B6 stats.</w:t>
      </w:r>
    </w:p>
    <w:p>
      <w:pPr>
        <w:pStyle w:val="Heading2"/>
      </w:pPr>
      <w:r>
        <w:t xml:space="preserve">3. Change log</w:t>
      </w:r>
    </w:p>
    <w:tbl>
      <w:tblPr>
        <w:tblStyle w:val="TableGrid"/>
        <w:tblW w:w="0" w:type="auto"/>
        <w:tblLayout w:type="fixed"/>
        <w:tblLook w:val="04A0" w:firstRow="1" w:lastRow="0" w:firstColumn="0" w:lastColumn="0" w:noHBand="0" w:noVBand="1"/>
      </w:tblPr>
      <w:tblGrid>
        <w:gridCol w:w="1119"/>
        <w:gridCol w:w="1594"/>
        <w:gridCol w:w="5361"/>
        <w:gridCol w:w="1285"/>
      </w:tblGrid>
      <w:tr>
        <w:trPr>
          <w:tblHeader/>
        </w:trPr>
        <w:tc>
          <w:tcPr>
            <w:tcW w:w="1119" w:type="dxa"/>
            <w:shd w:val="clear" w:color="auto" w:fill="F2F2F2"/>
          </w:tcPr>
          <w:p>
            <w:pPr/>
            <w:r>
              <w:t xml:space="preserve">Version</w:t>
            </w:r>
          </w:p>
        </w:tc>
        <w:tc>
          <w:tcPr>
            <w:tcW w:w="1594" w:type="dxa"/>
            <w:shd w:val="clear" w:color="auto" w:fill="F2F2F2"/>
          </w:tcPr>
          <w:p>
            <w:pPr/>
            <w:r>
              <w:t xml:space="preserve">Date</w:t>
            </w:r>
          </w:p>
        </w:tc>
        <w:tc>
          <w:tcPr>
            <w:tcW w:w="5361" w:type="dxa"/>
            <w:shd w:val="clear" w:color="auto" w:fill="F2F2F2"/>
          </w:tcPr>
          <w:p>
            <w:pPr/>
            <w:r>
              <w:t xml:space="preserve">Change</w:t>
            </w:r>
          </w:p>
        </w:tc>
        <w:tc>
          <w:tcPr>
            <w:tcW w:w="1285" w:type="dxa"/>
            <w:shd w:val="clear" w:color="auto" w:fill="F2F2F2"/>
          </w:tcPr>
          <w:p>
            <w:pPr/>
            <w:r>
              <w:t xml:space="preserve">Status</w:t>
            </w:r>
          </w:p>
        </w:tc>
      </w:tr>
      <w:tr>
        <w:tc>
          <w:tcPr>
            <w:tcW w:w="1119" w:type="dxa"/>
          </w:tcPr>
          <w:p>
            <w:pPr/>
            <w:r>
              <w:t xml:space="preserve">2.1</w:t>
            </w:r>
          </w:p>
        </w:tc>
        <w:tc>
          <w:tcPr>
            <w:tcW w:w="1594" w:type="dxa"/>
          </w:tcPr>
          <w:p>
            <w:pPr/>
            <w:r>
              <w:t xml:space="preserve">22 Oct 2026</w:t>
            </w:r>
          </w:p>
        </w:tc>
        <w:tc>
          <w:tcPr>
            <w:tcW w:w="5361" w:type="dxa"/>
          </w:tcPr>
          <w:p>
            <w:pPr/>
            <w:r>
              <w:t xml:space="preserve">Added decisions A1 to A16. No change to rules, tuning constants or profiles.</w:t>
            </w:r>
          </w:p>
        </w:tc>
        <w:tc>
          <w:tcPr>
            <w:tcW w:w="1285" w:type="dxa"/>
          </w:tcPr>
          <w:p>
            <w:pPr/>
            <w:r>
              <w:t xml:space="preserve">LOCKED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Dariabandha Master Plan v2.1 Addendum</dc:title>
  <dc:description>Claude Docs node/8d97891b-784d@1 docx-w7</dc:description>
  <cp:revision>1</cp:revision>
</cp:coreProperties>
</file>