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291.94580078125" w:line="213.00973892211914" w:lineRule="auto"/>
        <w:ind w:left="820" w:right="270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9050" distT="19050" distL="19050" distR="19050">
            <wp:extent cx="4229100" cy="26765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291.94580078125" w:line="213.00973892211914" w:lineRule="auto"/>
        <w:ind w:left="820" w:right="270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291.94580078125" w:line="213.00973892211914" w:lineRule="auto"/>
        <w:ind w:left="820" w:right="270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Figure 1: IR Sensor Module and Pin Configuration </w:t>
      </w:r>
    </w:p>
    <w:p w:rsidR="00000000" w:rsidDel="00000000" w:rsidP="00000000" w:rsidRDefault="00000000" w:rsidRPr="00000000" w14:paraId="00000004">
      <w:pPr>
        <w:widowControl w:val="0"/>
        <w:spacing w:before="291.94580078125" w:line="213.00973892211914" w:lineRule="auto"/>
        <w:ind w:left="820" w:right="270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291.94580078125" w:line="213.00973892211914" w:lineRule="auto"/>
        <w:ind w:left="820" w:right="270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1367.5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9050" distT="19050" distL="19050" distR="19050">
            <wp:extent cx="3533775" cy="22955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1017.5846862792969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2: Interfacing of the IR Sensor with the Arduino UNO 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1367.5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