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4"/>
          <w:szCs w:val="44"/>
        </w:rPr>
        <w:t xml:space="preserve">Project Charter: ADPA Enterprise Hardening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1. Executive Summary</w:t>
      </w:r>
    </w:p>
    <w:p>
      <w:r>
        <w:t xml:space="preserve">This project aims to stabilize and scale the ADPA platform for enterprise-grade performance.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2. Risk Register (Table Stress Test)</w:t>
      </w:r>
    </w:p>
    <w:p>
      <w:r>
        <w:t xml:space="preserve">| Risk ID | Description | Impact | Likelihood | Mitigation Strategy |</w:t>
      </w:r>
    </w:p>
    <w:p>
      <w:r>
        <w:t xml:space="preserve">|---------|-------------|--------|------------|---------------------|</w:t>
      </w:r>
    </w:p>
    <w:p>
      <w:r>
        <w:t xml:space="preserve">| R-001 | Database Connection Pool Exhaustion | High | Medium | Implement circuit breakers and connection timeouts. |</w:t>
      </w:r>
    </w:p>
    <w:p>
      <w:r>
        <w:t xml:space="preserve">| R-002 | Vercel Function Timeout on Large Exports | Medium | High | Optimize proxy buffer handling and async params. |</w:t>
      </w:r>
    </w:p>
    <w:p>
      <w:r>
        <w:t xml:space="preserve">| R-003 | JIT Provisioning Race Condition | High | Low | Implement Rescue-on-Conflict pattern. |</w:t>
      </w:r>
    </w:p>
    <w:p>
      <w:r>
        <w:t xml:space="preserve">| R-004 | Inconsistent Permission Mapping | Medium | Medium | Implement robust parsing utility in controllers. |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3. Budget Breakdown (Alignment Test)</w:t>
      </w:r>
    </w:p>
    <w:p>
      <w:r>
        <w:t xml:space="preserve">| Category | Item | Estimated Cost | Priority |</w:t>
      </w:r>
    </w:p>
    <w:p>
      <w:r>
        <w:t xml:space="preserve">|----------|------|----------------|----------|</w:t>
      </w:r>
    </w:p>
    <w:p>
      <w:r>
        <w:t xml:space="preserve">| Infrastructure | Azure Container Apps | $500/mo | Critical |</w:t>
      </w:r>
    </w:p>
    <w:p>
      <w:r>
        <w:t xml:space="preserve">| Storage | Azure Blob Storage | $100/mo | High |</w:t>
      </w:r>
    </w:p>
    <w:p>
      <w:r>
        <w:t xml:space="preserve">| Monitoring | Sentry &amp; Langfuse | $250/mo | Medium |</w:t>
      </w:r>
    </w:p>
    <w:p>
      <w:r>
        <w:t xml:space="preserve">| **Total** | | **$850/mo** | |</w:t>
      </w:r>
    </w:p>
    <w:p>
      <w:pPr>
        <w:pStyle w:val="Heading2"/>
      </w:pPr>
      <w:r>
        <w:rPr>
          <w:b/>
          <w:bCs/>
          <w:sz w:val="40"/>
          <w:szCs w:val="40"/>
        </w:rPr>
        <w:t xml:space="preserve">4. Technical Requirements</w:t>
      </w:r>
    </w:p>
    <w:p>
      <w:r>
        <w:t xml:space="preserve">- Node.js 20+</w:t>
      </w:r>
    </w:p>
    <w:p>
      <w:r>
        <w:t xml:space="preserve">- Next.js 16 (Async Params)</w:t>
      </w:r>
    </w:p>
    <w:p>
      <w:r>
        <w:t xml:space="preserve">- PostgreSQL with Drizzle ORM</w:t>
      </w:r>
    </w:p>
    <w:p>
      <w:r>
        <w:t xml:space="preserve">- Puppeteer for PDF Generation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2026-04-07T02:53:21.196Z</dcterms:created>
  <dcterms:modified xsi:type="dcterms:W3CDTF">2026-04-07T02:53:21.196Z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