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II: Architectural Decision Records (ADR)</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ADR-001: Selection of Type-1 Hyper-V Virtualization over Container Namespaces</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Enterprise automation workloads (ADPA and SIDPA) require running Windows-native services, COM+ dependencies, WMI, Windows Performance Counters, and Group Policy Objects (GPO) that are unsupported or unstable inside container namespaces. We evaluated Windows Server Containers vs. Hyper-V Generation 2 Type-1 Virtual Machines.</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Standardize on Type-1 Hyper-V Generation 2 Virtual Machines orchestrated by the native Rust control plane (wxc-exec --features hyperv). Hyper-V partitions utilize Intel VT-x / AMD-V and Second-Level Address Translation (SLAT), providing a verifiable hardware boundary and deterministic memory checkpointing.</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Total isolation, cryptographic immutability, full Windows Server API compatibility. Trade-off: Requires a Windows Pro, Enterprise, or Windows Server host with Hyper-V enabled.</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Hyper-V Direct Micro-VM Partitions: Explore integration with stripped-down Hyper-V micro-VM profiles and custom minimal Windows Server Core footprints to reduce baseline memory commitment per suspended instance from 1GB down to &lt;256MB.</w:t>
            </w:r>
          </w:p>
        </w:tc>
      </w:tr>
    </w:tbl>
    <w:p>
      <w:pPr>
        <w:spacing w:after="120"/>
      </w:pPr>
    </w:p>
    <w:p>
      <w:pPr>
        <w:keepNext/>
        <w:spacing w:before="320" w:after="120"/>
      </w:pPr>
      <w:r>
        <w:rPr>
          <w:rFonts w:ascii="Calibri" w:hAnsi="Calibri"/>
          <w:b/>
          <w:color w:val="1F4E79"/>
          <w:sz w:val="30"/>
        </w:rPr>
        <w:t>ADR-002: Just-in-Time (JIT) Connection-Buffering Ingress Gateway</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End users and upstream webhooks send standard HTTPS requests to public endpoints (e.g., https://adpa.internal.company.com/api/v1/process). When the backend VM is dormant (Paused), the socket is closed or unreachable.</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Deploy an intelligent Connection-Buffering Ingress Reverse Proxy (YARP / Envoy / FastMCP Gateway) in front of the VM cluster. The proxy terminates TLS, checks target VM state, holds the client request buffer open if dormant, dispatches a synchronous wake signal (pool_lease / resume) to MXC (&lt;300ms), performs a TCP loopback handshake against guest port :8080 (~50ms), and flushes the held request.</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Clients experience zero connection drops, resets, or 502/504 errors. Standard REST and browser clients work seamlessly without custom wake-up SDKs.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WebSocket &amp; SSE Suspension Multiplexing: Upgrade the JIT Ingress Proxy to support long-lived WebSocket and Server-Sent Events (SSE) connection suspension, enabling real-time UI progress streams and transparent session resumption across mid-conversation idle pauses.</w:t>
            </w:r>
          </w:p>
        </w:tc>
      </w:tr>
    </w:tbl>
    <w:p>
      <w:pPr>
        <w:spacing w:after="120"/>
      </w:pPr>
    </w:p>
    <w:p>
      <w:pPr>
        <w:keepNext/>
        <w:spacing w:before="320" w:after="120"/>
      </w:pPr>
      <w:r>
        <w:rPr>
          <w:rFonts w:ascii="Calibri" w:hAnsi="Calibri"/>
          <w:b/>
          <w:color w:val="1F4E79"/>
          <w:sz w:val="30"/>
        </w:rPr>
        <w:t>ADR-003: Dedicated Production Base Image Separation</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The developer golden image (winserv2025-golden.vhdx) includes compilation toolchains (Rust MSVC, Node.js, .NET SDK, Scoop, uv, Playwright, compilers, source repositories). Production deployments require minimized attack surfaces and zero unauthorized tooling.</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Maintain a separate, hardened Production Base Image (winserv2025-prod-adpa.vhdx) distinct from the development image. It uses a minimal Windows Server 2025 footprint, pre-bakes ADPA/SIDPA as pre-jitted auto-starting Windows Services under least-privilege local service accounts, excludes all compilers/package managers (Scoop, cargo, git), and runs smoke-test requests during baking to pre-warm memory caches before capturing the golden checkpoint.</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Drastically reduced attack surface, CIS benchmark compliance, and zero JIT compilation latency on wake.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Automated Supply-Chain Attestation (SBOM &amp; Cosign): Integrate automated vulnerability scanning (Trivy), Software Bill of Materials (SBOM) generation, and cryptographic VHDX image signing (Cosign) directly into the CI/CD image baking pipeline so the Hyper-V host verifies image signatures prior to pool registration.</w:t>
            </w:r>
          </w:p>
        </w:tc>
      </w:tr>
    </w:tbl>
    <w:p>
      <w:pPr>
        <w:spacing w:after="120"/>
      </w:pPr>
    </w:p>
    <w:p>
      <w:pPr>
        <w:keepNext/>
        <w:spacing w:before="320" w:after="120"/>
      </w:pPr>
      <w:r>
        <w:rPr>
          <w:rFonts w:ascii="Calibri" w:hAnsi="Calibri"/>
          <w:b/>
          <w:color w:val="1F4E79"/>
          <w:sz w:val="30"/>
        </w:rPr>
        <w:t>ADR-004: Memory-Preserved Standby (Paused Hypervisor RAM State)</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Cold-booting Windows Server takes 25–45 seconds. Pausing an active VM keeps guest physical memory intact in host RAM, freezing the virtual CPU instruction pointer.</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Implement the warm pool state as Hyper-V Paused Instances. When dormant, VMs remain in Hyper-V Paused state with instruction pointers frozen (0.0% CPU). Rather than relying on the guest balloon driver to actively reclaim memory while its vCPUs are frozen (which is impossible when paused) or forcing host swap-paging (which violates the &lt;300ms resume SLA due to disk I/O page-ins), guest memory is aggressively trimmed and compacted prior to issuing Suspend-VM during pool replenishment and image baking. This locks each dormant instance into a lean static host RAM allocation (~1.0–1.2 GB). Resuming via Resume-VM executes in &lt;300ms.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Guaranteed deterministic sub-300ms wake times with 0.0% idle CPU overhead. Trade-off: Requires sizing host physical RAM to accommodate K_ready warm paused instances without triggering host-level memory overcommit swap.</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Two-Tier Hibernation Hierarchy (RAM Pause vs. NVMe Save-VM): Introduce a tiered standby hierarchy where hot-queue instances (N=2) remain in Paused RAM state (&lt;300ms wake), while deep-standby instances (N=10) are placed in Saved NVMe state (0MB host RAM, ~1.5s wake) and promoted into RAM dynamically as active leases increase.</w:t>
            </w:r>
          </w:p>
        </w:tc>
      </w:tr>
    </w:tbl>
    <w:p>
      <w:pPr>
        <w:spacing w:after="120"/>
      </w:pPr>
    </w:p>
    <w:p>
      <w:pPr>
        <w:keepNext/>
        <w:spacing w:before="320" w:after="120"/>
      </w:pPr>
      <w:r>
        <w:rPr>
          <w:rFonts w:ascii="Calibri" w:hAnsi="Calibri"/>
          <w:b/>
          <w:color w:val="1F4E79"/>
          <w:sz w:val="30"/>
        </w:rPr>
        <w:t>ADR-005: Automated Checkpoint Differencing Disks for Stateless Execution</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If production services write temporary files, logs, or registry entries during an end-user session, those modifications could accumulate over time, leading to disk bloat, performance degradation, or security cross-contamination.</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Execute all production sessions against a transient differencing disk (.avhdx) anchored to the clean production baseline (baseline-hot-ready). All disk writes during the session are captured exclusively in the .avhdx layer and discarded upon session release. Persistent business data is stored exclusively in external enterprise datastores via an Internal Data Plane &amp; Egress Whitelist: public internet egress is strictly blocked (airgap default), while outbound traffic is permitted strictly to internal datastore subnets (TCP 1433 for SQL Server, TCP 5432 for PostgreSQL, TCP 443 for Private S3/Blob storage) and directory services (UDP/TCP 53 for Internal DNS, UDP/TCP 88 for Active Directory Kerberos).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Zero post-session state drift, guaranteed eradication of session residue, and secure persistence to external datastores without exposing internet access.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WORM Memory-Backed Ephemeral Scratch Disks: Transition high-throughput temporary scratch I/O from file-backed .avhdx delta layers to Write-Once-Read-Many (WORM) host RAM-disks attached via VMBus SCSI, achieving near-zero I/O latency and instantaneous physical memory zeroing upon release.</w:t>
            </w:r>
          </w:p>
        </w:tc>
      </w:tr>
    </w:tbl>
    <w:p>
      <w:pPr>
        <w:spacing w:after="120"/>
      </w:pPr>
    </w:p>
    <w:p>
      <w:pPr>
        <w:keepNext/>
        <w:spacing w:before="320" w:after="120"/>
      </w:pPr>
      <w:r>
        <w:rPr>
          <w:rFonts w:ascii="Calibri" w:hAnsi="Calibri"/>
          <w:b/>
          <w:color w:val="1F4E79"/>
          <w:sz w:val="30"/>
        </w:rPr>
        <w:t>ADR-006: Dynamic Watermark-Based Standby Pool Autoscaling &amp; Predictive Warm-Up</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While maintaining a single dormant instance in Paused RAM achieves sub-300ms wake-up for a single request, a burst of concurrent requests or high-volume batch processing for ADPA/SIDPA could exhaust the standby capacity. Production systems require elastic, proactive ready-state replenishment so multiple warm instances are immediately available whenever demand indicators surge.</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Implement an Adaptive Low/High Watermark Standby Pool Manager with tiered lifecycle states: (1) ColdProvisioned (0MB RAM, disk provisioned on NVMe), (2) StandbyPaused (pre-warmed, pre-trimmed, paused in RAM at ~1.0–1.2 GB, &lt;300ms wake), and (3) ActiveRunning. Low Watermark Kmin maintains ready instances; when an instance is leased, an async background worker promotes a ColdProvisioned VM in ~1.5s. High Watermark Kmax dynamically expands the buffer under surge velocity. Sibling VM PRNG entropy is re-seeded from hardware (RDRAND/BCryptGenRandom) on wake, stale database connection pools are cleared (ClearAllPools()), and guest clock sync against host UTC time is asserted on resume before serving requests.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Seamless concurrency handling with zero queuing delay; zero cold boots; cryptographic security against PRNG entropy duplication; zero clock-skew authentication errors. Trade-off: Burst expansion momentarily consumes additional host RAM (~1.0–1.2 GB per paused instance), reclaimed back to disk upon idle cooldown.</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AI-Driven Predictive Ingress Forecasting: Train an on-host lightweight time-series model (e.g., ARIMA or temporal transformer) analyzing historical request telemetry to automatically pre-warm pools 60 seconds ahead of anticipated demand cycles with zero manual scheduling.</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