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Architecture Design Document (ADD)</w:t>
      </w:r>
    </w:p>
    <w:p>
      <w:pPr>
        <w:spacing w:before="0" w:after="280"/>
      </w:pPr>
      <w:r>
        <w:rPr>
          <w:rFonts w:ascii="Calibri" w:hAnsi="Calibri"/>
          <w:color w:val="595959"/>
          <w:sz w:val="24"/>
        </w:rPr>
        <w:t>Just-in-Time (JIT) Scale-to-Zero Production Hyper-V Sandboxes for Enterprise Applications (ADPA / SIDPA)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This Architecture Design Document (ADD) defines the unified enterprise specification for running production-grade services—specifically ADPA (Automated Dynamic Process Automation) and SIDPA (Secured Intelligent Data Processing Application)—inside hardware-isolated Windows Server 2025 Type-1 Hyper-V micro-instances.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0% Idle Resource Footprint: </w:t>
      </w:r>
      <w:r>
        <w:rPr>
          <w:rFonts w:ascii="Calibri" w:hAnsi="Calibri"/>
          <w:color w:val="333333"/>
          <w:sz w:val="21"/>
        </w:rPr>
        <w:t>When no client requests are active, production VMs remain suspended in RAM (Paused), consuming 0.0% CPU cycles with a lean, pre-trimmed static working set (~1.0–1.2 GB).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Sub-Second Wake-on-Request: </w:t>
      </w:r>
      <w:r>
        <w:rPr>
          <w:rFonts w:ascii="Calibri" w:hAnsi="Calibri"/>
          <w:color w:val="333333"/>
          <w:sz w:val="21"/>
        </w:rPr>
        <w:t>An intelligent Ingress Gateway buffers incoming client HTTP requests, triggers hardware unpause via the MXC control plane in &lt;300ms, verifies socket readiness, and proxies the payload with zero perceptible cold-start delay (350ms – 650ms nominal, &lt;= 800ms SLA Time to First Byte).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Sterile Session Isolation: </w:t>
      </w:r>
      <w:r>
        <w:rPr>
          <w:rFonts w:ascii="Calibri" w:hAnsi="Calibri"/>
          <w:color w:val="333333"/>
          <w:sz w:val="21"/>
        </w:rPr>
        <w:t>Upon session completion or inactivity timeout, the instance delta disk (.avhdx) is discarded, returning the VM back to a pristine, immutable checkpoint baseline (baseline-hot-ready) to prevent state drift and eliminate malware persistence.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Elastic Ready-State Autoscaling: </w:t>
      </w:r>
      <w:r>
        <w:rPr>
          <w:rFonts w:ascii="Calibri" w:hAnsi="Calibri"/>
          <w:color w:val="333333"/>
          <w:sz w:val="21"/>
        </w:rPr>
        <w:t>As soon as requirements, concurrency velocity, or schedules signal increased demand, the warm pool manager automatically replenishes and expands the ready-state paused buffer (Kmin -&gt; Kmax) so concurrent requests never experience cold boots or queuing delays.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2. Pillar Index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Pillar I — Business Drivers &amp; Requirements (BDR): </w:t>
      </w:r>
      <w:r>
        <w:rPr>
          <w:rFonts w:ascii="Calibri" w:hAnsi="Calibri"/>
          <w:color w:val="333333"/>
          <w:sz w:val="21"/>
        </w:rPr>
        <w:t>Business context, ROI drivers, cost metrics, high-level requirements matrix (REQ-BDR-01 to 05), and zero-trust security requirements.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Pillar II — Architectural Decision Records (ADR): </w:t>
      </w:r>
      <w:r>
        <w:rPr>
          <w:rFonts w:ascii="Calibri" w:hAnsi="Calibri"/>
          <w:color w:val="333333"/>
          <w:sz w:val="21"/>
        </w:rPr>
        <w:t>Formal decision records (ADR-001 through ADR-006) justifying Hyper-V Type-1 virtualization, JIT wake-on-request proxies, separate production images, paused RAM standby states, differencing disk rollback, and dynamic watermark pool autoscaling.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Pillar III — Functional Design Document (FDD): </w:t>
      </w:r>
      <w:r>
        <w:rPr>
          <w:rFonts w:ascii="Calibri" w:hAnsi="Calibri"/>
          <w:color w:val="333333"/>
          <w:sz w:val="21"/>
        </w:rPr>
        <w:t>Component breakdown, JSON proxy route configuration, elastic watermark pool replenishment algorithm, lifecycle state machines, wake-on-request sequence flows, and automated reaping protocols.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• Pillar IV — User Stories &amp; Acceptance Criteria: </w:t>
      </w:r>
      <w:r>
        <w:rPr>
          <w:rFonts w:ascii="Calibri" w:hAnsi="Calibri"/>
          <w:color w:val="333333"/>
          <w:sz w:val="21"/>
        </w:rPr>
        <w:t>BDD/Gherkin user stories and testable acceptance criteria across End Users (US-01), SecOps (US-02), DevOps/SRE (US-03), CI/CD Release Engineers (US-04), and Capacity SREs (US-05).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3. System Architecture Topology (Mermaid Specification)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1E4E8"/>
              <w:bottom w:val="single" w:sz="4" w:space="0" w:color="E1E4E8"/>
              <w:left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8"/>
              </w:rPr>
              <w:t>flowchart TD</w:t>
              <w:br/>
              <w:t xml:space="preserve">    subgraph Clients["Client Layer"]</w:t>
              <w:br/>
              <w:t xml:space="preserve">        User["Enterprise End User / REST API Client"]</w:t>
              <w:br/>
              <w:t xml:space="preserve">        ChatAgent["Eve Chat Agent / Automated Orchestrator"]</w:t>
              <w:br/>
              <w:t xml:space="preserve">    end</w:t>
              <w:br/>
              <w:br/>
              <w:t xml:space="preserve">    subgraph Ingress["Ingress &amp; Edge Routing Layer"]</w:t>
              <w:br/>
              <w:t xml:space="preserve">        Proxy["JIT Ingress Reverse Proxy Gateway (:443)"]</w:t>
              <w:br/>
              <w:t xml:space="preserve">        BufferQueue["Request Connection Buffer / Hold Queue"]</w:t>
              <w:br/>
              <w:t xml:space="preserve">        AuthZ["Mutual TLS &amp; JWT Authentication"]</w:t>
              <w:br/>
              <w:t xml:space="preserve">    end</w:t>
              <w:br/>
              <w:br/>
              <w:t xml:space="preserve">    subgraph ControlPlane["MXC Hardware Virtualization Control Plane"]</w:t>
              <w:br/>
              <w:t xml:space="preserve">        FastMCP["MXC FastMCP Server (:8000)"]</w:t>
              <w:br/>
              <w:t xml:space="preserve">        PoolManager["Warm Standby Pool Manager (wxc-exec)"]</w:t>
              <w:br/>
              <w:t xml:space="preserve">        Reaper["Idle Inactivity Reaper (5 min timeout)"]</w:t>
              <w:br/>
              <w:t xml:space="preserve">    end</w:t>
              <w:br/>
              <w:br/>
              <w:t xml:space="preserve">    subgraph HyperVHost["Hyper-V Server 2025 Host (Machine A)"]</w:t>
              <w:br/>
              <w:t xml:space="preserve">        Switch["Internal vSwitch (Isolated Port Forwarding)"]</w:t>
              <w:br/>
              <w:t xml:space="preserve">        ActiveVM["Active Leased VM (hv:prod-adpa-01) | Running"]</w:t>
              <w:br/>
              <w:t xml:space="preserve">        StandbyVM["Standby VM (hv:prod-adpa-02) | Paused (0% CPU)"]</w:t>
              <w:br/>
              <w:t xml:space="preserve">        GoldenProdVHDX[("Production Base VHDX (winserv2025-prod-adpa.vhdx)")]</w:t>
              <w:br/>
              <w:t xml:space="preserve">        SnapshotBaseline[("Clean Memory Checkpoint (baseline-hot-ready.avhdx)")]</w:t>
              <w:br/>
              <w:t xml:space="preserve">    end</w:t>
              <w:br/>
              <w:br/>
              <w:t xml:space="preserve">    User --&gt; Proxy --&gt; AuthZ --&gt; BufferQueue</w:t>
              <w:br/>
              <w:t xml:space="preserve">    ChatAgent --&gt; Proxy</w:t>
              <w:br/>
              <w:t xml:space="preserve">    BufferQueue -- "Wake Signal if dormant" --&gt; FastMCP --&gt; PoolManager</w:t>
              <w:br/>
              <w:t xml:space="preserve">    PoolManager -- "Resume-VM (&lt;300ms)" --&gt; StandbyVM -.-&gt; ActiveVM</w:t>
              <w:br/>
              <w:t xml:space="preserve">    BufferQueue -- "Forward HTTP" --&gt; Switch --&gt; ActiveVM</w:t>
              <w:br/>
              <w:t xml:space="preserve">    Reaper -- "Inactivity timeout" --&gt; PoolManager -- "Discard .avhdx &amp; Restore" --&gt; StandbyVM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Technical Feasibility &amp; Metric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Cold-Booted VM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Always-On VM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MXC JIT Scale-to-Zero (This Architecture)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Idle CPU Usage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0% (Offline)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2% – 8% per VM continuous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0.0% (Paused in Hypervisor)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Time to First Byte (Wakeup)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25,000ms – 45,000ms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5ms – 10ms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350ms – 650ms (&lt;=800ms SLA)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Subsequent Request Latency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5ms – 10ms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5ms – 10ms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5ms – 10ms (&lt;=15ms SLA)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Memory Isolation Level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Hardware Type-1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Hardware Type-1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Hardware Type-1 (VT-x / AMD-V / SLAT)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Post-Session State Drift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Vulnerable to drift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Accumulates dirty state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Zero (Automated Checkpoint Rollback)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Host Density (Per 64GB RAM)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~25 (Not running)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~8 (Bottlenecked)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30+ Instances Concurrent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FUTURE HORIZON &amp; SCALING ENHANCEMENT:</w:t>
              <w:br/>
            </w:r>
            <w:r>
              <w:rPr>
                <w:rFonts w:ascii="Calibri" w:hAnsi="Calibri"/>
                <w:i/>
                <w:color w:val="464646"/>
                <w:sz w:val="20"/>
              </w:rPr>
              <w:t>1. Multi-Region Hypervisor Mesh: Expand the MXC Rust control plane across geo-distributed bare-metal Hyper-V clusters paired with Anycast DNS edge proxies to guarantee &lt;100ms global ingress socket acceptance.</w:t>
              <w:br/>
              <w:t>2. Carbon-Aware Workload Scheduling: Dynamically shift suspended VM resume operations and background image baking pipelines to data centers operating at peak renewable energy availability.</w:t>
              <w:br/>
              <w:t>3. Confidential Computing Partitions: Integrate hardware-enforced memory encryption (AMD SEV-SNP / Intel TDX) at the Hyper-V guest partition level for cryptographic isolation even against host-level inspection.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