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4"/>
        </w:rPr>
        <w:t>Pillar I: Business Drivers &amp; Requirements (BDR)</w:t>
      </w:r>
    </w:p>
    <w:p>
      <w:pPr>
        <w:spacing w:before="0" w:after="280"/>
      </w:pPr>
      <w:r>
        <w:rPr>
          <w:rFonts w:ascii="Calibri" w:hAnsi="Calibri"/>
          <w:color w:val="595959"/>
          <w:sz w:val="24"/>
        </w:rPr>
        <w:t>Just-in-Time (JIT) Scale-to-Zero Production Hyper-V Sandboxes (ADPA / SIDPA)</w:t>
      </w:r>
    </w:p>
    <w:p>
      <w:pPr>
        <w:keepNext/>
        <w:spacing w:before="320" w:after="120"/>
      </w:pPr>
      <w:r>
        <w:rPr>
          <w:rFonts w:ascii="Calibri" w:hAnsi="Calibri"/>
          <w:b/>
          <w:color w:val="1F4E79"/>
          <w:sz w:val="30"/>
        </w:rPr>
        <w:t>1. Executive Context &amp; Operational Trilemma</w:t>
      </w:r>
    </w:p>
    <w:p>
      <w:pPr>
        <w:spacing w:before="0" w:after="120" w:line="276" w:lineRule="auto"/>
      </w:pPr>
      <w:r>
        <w:rPr>
          <w:rFonts w:ascii="Calibri" w:hAnsi="Calibri"/>
          <w:color w:val="333333"/>
          <w:sz w:val="21"/>
        </w:rPr>
        <w:t>Enterprises deploying automated processing services (such as ADPA and SIDPA) face a critical operational trilemma across cost, latency, and security:</w:t>
      </w:r>
    </w:p>
    <w:p>
      <w:pPr>
        <w:spacing w:before="0" w:after="120" w:line="276" w:lineRule="auto"/>
      </w:pPr>
      <w:r>
        <w:rPr>
          <w:rFonts w:ascii="Calibri" w:hAnsi="Calibri"/>
          <w:b/>
          <w:color w:val="282828"/>
          <w:sz w:val="21"/>
        </w:rPr>
        <w:t xml:space="preserve">1. High Infrastructure &amp; Idle Power Costs: </w:t>
      </w:r>
      <w:r>
        <w:rPr>
          <w:rFonts w:ascii="Calibri" w:hAnsi="Calibri"/>
          <w:color w:val="333333"/>
          <w:sz w:val="21"/>
        </w:rPr>
        <w:t>Traditional deployments maintain dedicated, always-on virtual machines to avoid slow startup times. A cluster of 10–20 always-on Windows Server instances consumes significant host CPU ticks, saturates hypervisor RAM, and incurs 24/7 compute and licensing costs even during idle nights and weekends.</w:t>
      </w:r>
    </w:p>
    <w:p>
      <w:pPr>
        <w:spacing w:before="0" w:after="120" w:line="276" w:lineRule="auto"/>
      </w:pPr>
      <w:r>
        <w:rPr>
          <w:rFonts w:ascii="Calibri" w:hAnsi="Calibri"/>
          <w:b/>
          <w:color w:val="282828"/>
          <w:sz w:val="21"/>
        </w:rPr>
        <w:t xml:space="preserve">2. Unacceptable Cold-Boot Delays: </w:t>
      </w:r>
      <w:r>
        <w:rPr>
          <w:rFonts w:ascii="Calibri" w:hAnsi="Calibri"/>
          <w:color w:val="333333"/>
          <w:sz w:val="21"/>
        </w:rPr>
        <w:t>When traditional virtual machines are shut down (Stopped) to save resources, waking them upon an incoming HTTP request takes 25 to 45 seconds, leading to HTTP 504 gateway timeouts and failed webhooks.</w:t>
      </w:r>
    </w:p>
    <w:p>
      <w:pPr>
        <w:spacing w:before="0" w:after="120" w:line="276" w:lineRule="auto"/>
      </w:pPr>
      <w:r>
        <w:rPr>
          <w:rFonts w:ascii="Calibri" w:hAnsi="Calibri"/>
          <w:b/>
          <w:color w:val="282828"/>
          <w:sz w:val="21"/>
        </w:rPr>
        <w:t xml:space="preserve">3. Inadequate Security in Shared Container Runtimes: </w:t>
      </w:r>
      <w:r>
        <w:rPr>
          <w:rFonts w:ascii="Calibri" w:hAnsi="Calibri"/>
          <w:color w:val="333333"/>
          <w:sz w:val="21"/>
        </w:rPr>
        <w:t>While Linux containers achieve fast spin-up, they share the host kernel. High-compliance workloads processing confidential financial data, PII, or proprietary AI weights require a true Type-1 Hypervisor hardware boundary (Hyper-V Ring-0 isolation).</w:t>
      </w:r>
    </w:p>
    <w:p>
      <w:pPr>
        <w:keepNext/>
        <w:spacing w:before="320" w:after="120"/>
      </w:pPr>
      <w:r>
        <w:rPr>
          <w:rFonts w:ascii="Calibri" w:hAnsi="Calibri"/>
          <w:b/>
          <w:color w:val="1F4E79"/>
          <w:sz w:val="30"/>
        </w:rPr>
        <w:t>2. Core Business Drivers (Strategic Goals)</w:t>
      </w:r>
    </w:p>
    <w:p>
      <w:pPr>
        <w:keepNext/>
        <w:spacing w:before="240" w:after="80"/>
      </w:pPr>
      <w:r>
        <w:rPr>
          <w:rFonts w:ascii="Calibri" w:hAnsi="Calibri"/>
          <w:b/>
          <w:color w:val="282828"/>
          <w:sz w:val="25"/>
        </w:rPr>
        <w:t>BDR-01: Maximum Resource Density &amp; Cost Reduction (Scale-to-Zero)</w:t>
      </w:r>
    </w:p>
    <w:p>
      <w:pPr>
        <w:spacing w:before="0" w:after="120" w:line="276" w:lineRule="auto"/>
      </w:pPr>
      <w:r>
        <w:rPr>
          <w:rFonts w:ascii="Calibri" w:hAnsi="Calibri"/>
          <w:b/>
          <w:color w:val="282828"/>
          <w:sz w:val="21"/>
        </w:rPr>
        <w:t xml:space="preserve">Goal: </w:t>
      </w:r>
      <w:r>
        <w:rPr>
          <w:rFonts w:ascii="Calibri" w:hAnsi="Calibri"/>
          <w:color w:val="333333"/>
          <w:sz w:val="21"/>
        </w:rPr>
        <w:t>Minimize hardware footprint and operating expenditure by ensuring that when zero client requests are pending, virtual machine instances consume 0% CPU and maintain a compact host memory footprint.</w:t>
      </w:r>
    </w:p>
    <w:p>
      <w:pPr>
        <w:spacing w:before="0" w:after="120" w:line="276" w:lineRule="auto"/>
      </w:pPr>
      <w:r>
        <w:rPr>
          <w:rFonts w:ascii="Calibri" w:hAnsi="Calibri"/>
          <w:b/>
          <w:color w:val="282828"/>
          <w:sz w:val="21"/>
        </w:rPr>
        <w:t xml:space="preserve">Target Metrics: </w:t>
      </w:r>
      <w:r>
        <w:rPr>
          <w:rFonts w:ascii="Calibri" w:hAnsi="Calibri"/>
          <w:color w:val="333333"/>
          <w:sz w:val="21"/>
        </w:rPr>
        <w:t>0.0% Host CPU consumption during idle periods; ~1.0–1.2 GB lean static host memory footprint per paused instance achieved via working set pre-trimming prior to snapshot capture (preventing host swap-in disk I/O on resume); support for 3x to 5x more concurrent registered services per physical host.</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Predictive Auto-Warming &amp; Same-Page Merging: Introduce machine learning ingress forecasting models that analyze historical tenant traffic patterns to proactively resume anticipated pools 5 seconds before traffic surges occur, paired with hypervisor memory deduplication (Kernel Same-Page Merging) and Carbon-Aware scheduling across green data centers.</w:t>
            </w:r>
          </w:p>
        </w:tc>
      </w:tr>
    </w:tbl>
    <w:p>
      <w:pPr>
        <w:spacing w:after="120"/>
      </w:pPr>
    </w:p>
    <w:p>
      <w:pPr>
        <w:keepNext/>
        <w:spacing w:before="240" w:after="80"/>
      </w:pPr>
      <w:r>
        <w:rPr>
          <w:rFonts w:ascii="Calibri" w:hAnsi="Calibri"/>
          <w:b/>
          <w:color w:val="282828"/>
          <w:sz w:val="25"/>
        </w:rPr>
        <w:t>BDR-02: Strict Sub-Second Response SLAs (Instantaneous Readiness)</w:t>
      </w:r>
    </w:p>
    <w:p>
      <w:pPr>
        <w:spacing w:before="0" w:after="120" w:line="276" w:lineRule="auto"/>
      </w:pPr>
      <w:r>
        <w:rPr>
          <w:rFonts w:ascii="Calibri" w:hAnsi="Calibri"/>
          <w:b/>
          <w:color w:val="282828"/>
          <w:sz w:val="21"/>
        </w:rPr>
        <w:t xml:space="preserve">Goal: </w:t>
      </w:r>
      <w:r>
        <w:rPr>
          <w:rFonts w:ascii="Calibri" w:hAnsi="Calibri"/>
          <w:color w:val="333333"/>
          <w:sz w:val="21"/>
        </w:rPr>
        <w:t>Provide instantaneous, consumer-grade responsiveness to end users and API integrations without manual provisioning.</w:t>
      </w:r>
    </w:p>
    <w:p>
      <w:pPr>
        <w:spacing w:before="0" w:after="120" w:line="276" w:lineRule="auto"/>
      </w:pPr>
      <w:r>
        <w:rPr>
          <w:rFonts w:ascii="Calibri" w:hAnsi="Calibri"/>
          <w:b/>
          <w:color w:val="282828"/>
          <w:sz w:val="21"/>
        </w:rPr>
        <w:t xml:space="preserve">Target Metrics: </w:t>
      </w:r>
      <w:r>
        <w:rPr>
          <w:rFonts w:ascii="Calibri" w:hAnsi="Calibri"/>
          <w:color w:val="333333"/>
          <w:sz w:val="21"/>
        </w:rPr>
        <w:t>Time to First Byte (TTFB) from a completely dormant/paused state of 350ms – 650ms (&lt;= 800ms SLA); subsequent warm request latency under 15ms.</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Global Edge Socket Holding (Anycast PoPs): Deploy a globally distributed edge proxy mesh that accepts TLS handshakes and holds incoming client sockets at the closest regional Point of Presence (PoP) while concurrently dispatching high-speed gRPC wake signals to the Hyper-V bare-metal pool.</w:t>
            </w:r>
          </w:p>
        </w:tc>
      </w:tr>
    </w:tbl>
    <w:p>
      <w:pPr>
        <w:spacing w:after="120"/>
      </w:pPr>
    </w:p>
    <w:p>
      <w:pPr>
        <w:keepNext/>
        <w:spacing w:before="240" w:after="80"/>
      </w:pPr>
      <w:r>
        <w:rPr>
          <w:rFonts w:ascii="Calibri" w:hAnsi="Calibri"/>
          <w:b/>
          <w:color w:val="282828"/>
          <w:sz w:val="25"/>
        </w:rPr>
        <w:t>BDR-03: Zero-Trust Hardware-Grade Isolation</w:t>
      </w:r>
    </w:p>
    <w:p>
      <w:pPr>
        <w:spacing w:before="0" w:after="120" w:line="276" w:lineRule="auto"/>
      </w:pPr>
      <w:r>
        <w:rPr>
          <w:rFonts w:ascii="Calibri" w:hAnsi="Calibri"/>
          <w:b/>
          <w:color w:val="282828"/>
          <w:sz w:val="21"/>
        </w:rPr>
        <w:t xml:space="preserve">Goal: </w:t>
      </w:r>
      <w:r>
        <w:rPr>
          <w:rFonts w:ascii="Calibri" w:hAnsi="Calibri"/>
          <w:color w:val="333333"/>
          <w:sz w:val="21"/>
        </w:rPr>
        <w:t>Guarantee cryptographic and hardware-level isolation for every processing session so that cross-tenant side-channel leakage or kernel compromise is mathematically prevented.</w:t>
      </w:r>
    </w:p>
    <w:p>
      <w:pPr>
        <w:spacing w:before="0" w:after="120" w:line="276" w:lineRule="auto"/>
      </w:pPr>
      <w:r>
        <w:rPr>
          <w:rFonts w:ascii="Calibri" w:hAnsi="Calibri"/>
          <w:b/>
          <w:color w:val="282828"/>
          <w:sz w:val="21"/>
        </w:rPr>
        <w:t xml:space="preserve">Target Metrics: </w:t>
      </w:r>
      <w:r>
        <w:rPr>
          <w:rFonts w:ascii="Calibri" w:hAnsi="Calibri"/>
          <w:color w:val="333333"/>
          <w:sz w:val="21"/>
        </w:rPr>
        <w:t>Dedicated Virtual Processor (vCPU) and Second-Level Address Translation (SLAT / Intel VT-x / AMD-V) hardware isolation; zero shared kernel space between the application workload, other VMs, or the Hyper-V host OS.</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Hardware-Enforced Confidential Computing: Implement AMD SEV-SNP (Secure Encrypted Virtualization - Secure Nested Paging) and Intel TDX at the Hyper-V partition level, ensuring that guest RAM contents remain encrypted in hardware and unreadable even by host administrators or physical memory introspectors.</w:t>
            </w:r>
          </w:p>
        </w:tc>
      </w:tr>
    </w:tbl>
    <w:p>
      <w:pPr>
        <w:spacing w:after="120"/>
      </w:pPr>
    </w:p>
    <w:p>
      <w:pPr>
        <w:keepNext/>
        <w:spacing w:before="240" w:after="80"/>
      </w:pPr>
      <w:r>
        <w:rPr>
          <w:rFonts w:ascii="Calibri" w:hAnsi="Calibri"/>
          <w:b/>
          <w:color w:val="282828"/>
          <w:sz w:val="25"/>
        </w:rPr>
        <w:t>BDR-04: Immutable State &amp; Zero-Persistence Guarantee</w:t>
      </w:r>
    </w:p>
    <w:p>
      <w:pPr>
        <w:spacing w:before="0" w:after="120" w:line="276" w:lineRule="auto"/>
      </w:pPr>
      <w:r>
        <w:rPr>
          <w:rFonts w:ascii="Calibri" w:hAnsi="Calibri"/>
          <w:b/>
          <w:color w:val="282828"/>
          <w:sz w:val="21"/>
        </w:rPr>
        <w:t xml:space="preserve">Goal: </w:t>
      </w:r>
      <w:r>
        <w:rPr>
          <w:rFonts w:ascii="Calibri" w:hAnsi="Calibri"/>
          <w:color w:val="333333"/>
          <w:sz w:val="21"/>
        </w:rPr>
        <w:t>Eliminate configuration drift, accumulated file-system debris, and the risk of persistent malware or cross-session data contamination between client runs.</w:t>
      </w:r>
    </w:p>
    <w:p>
      <w:pPr>
        <w:spacing w:before="0" w:after="120" w:line="276" w:lineRule="auto"/>
      </w:pPr>
      <w:r>
        <w:rPr>
          <w:rFonts w:ascii="Calibri" w:hAnsi="Calibri"/>
          <w:b/>
          <w:color w:val="282828"/>
          <w:sz w:val="21"/>
        </w:rPr>
        <w:t xml:space="preserve">Target Metrics: </w:t>
      </w:r>
      <w:r>
        <w:rPr>
          <w:rFonts w:ascii="Calibri" w:hAnsi="Calibri"/>
          <w:color w:val="333333"/>
          <w:sz w:val="21"/>
        </w:rPr>
        <w:t>100% automated restoration to a pristine, cryptographically verifiable baseline snapshot (baseline-hot-ready) upon session release; differencing disk deltas (.avhdx) discarded immediately upon session termination.</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Cryptographic Ephemeral Scrubbing: Pair .avhdx delta discard operations with per-session ephemeral disk encryption keys that are destroyed in RAM upon session release, guaranteeing cryptographic erasure prior to storage block reclamation.</w:t>
            </w:r>
          </w:p>
        </w:tc>
      </w:tr>
    </w:tbl>
    <w:p>
      <w:pPr>
        <w:spacing w:after="120"/>
      </w:pPr>
    </w:p>
    <w:p>
      <w:pPr>
        <w:keepNext/>
        <w:spacing w:before="320" w:after="120"/>
      </w:pPr>
      <w:r>
        <w:rPr>
          <w:rFonts w:ascii="Calibri" w:hAnsi="Calibri"/>
          <w:b/>
          <w:color w:val="1F4E79"/>
          <w:sz w:val="30"/>
        </w:rPr>
        <w:t>3. High-Level Requirements Matrix</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448"/>
        <w:gridCol w:w="2448"/>
        <w:gridCol w:w="2448"/>
        <w:gridCol w:w="2448"/>
      </w:tblGrid>
      <w:tr>
        <w:tc>
          <w:tcPr>
            <w:tcW w:type="dxa" w:w="2448"/>
            <w:shd w:fill="1F4E79"/>
            <w:tcMar>
              <w:top w:w="100" w:type="dxa"/>
              <w:bottom w:w="100" w:type="dxa"/>
              <w:left w:w="120" w:type="dxa"/>
              <w:right w:w="120" w:type="dxa"/>
            </w:tcMar>
          </w:tcPr>
          <w:p>
            <w:pPr>
              <w:spacing w:before="0" w:after="0"/>
            </w:pPr>
            <w:r>
              <w:rPr>
                <w:rFonts w:ascii="Calibri" w:hAnsi="Calibri"/>
                <w:b/>
                <w:color w:val="FFFFFF"/>
                <w:sz w:val="20"/>
              </w:rPr>
              <w:t>Requirement ID</w:t>
            </w:r>
          </w:p>
        </w:tc>
        <w:tc>
          <w:tcPr>
            <w:tcW w:type="dxa" w:w="2448"/>
            <w:shd w:fill="1F4E79"/>
            <w:tcMar>
              <w:top w:w="100" w:type="dxa"/>
              <w:bottom w:w="100" w:type="dxa"/>
              <w:left w:w="120" w:type="dxa"/>
              <w:right w:w="120" w:type="dxa"/>
            </w:tcMar>
          </w:tcPr>
          <w:p>
            <w:pPr>
              <w:spacing w:before="0" w:after="0"/>
            </w:pPr>
            <w:r>
              <w:rPr>
                <w:rFonts w:ascii="Calibri" w:hAnsi="Calibri"/>
                <w:b/>
                <w:color w:val="FFFFFF"/>
                <w:sz w:val="20"/>
              </w:rPr>
              <w:t>Category</w:t>
            </w:r>
          </w:p>
        </w:tc>
        <w:tc>
          <w:tcPr>
            <w:tcW w:type="dxa" w:w="2448"/>
            <w:shd w:fill="1F4E79"/>
            <w:tcMar>
              <w:top w:w="100" w:type="dxa"/>
              <w:bottom w:w="100" w:type="dxa"/>
              <w:left w:w="120" w:type="dxa"/>
              <w:right w:w="120" w:type="dxa"/>
            </w:tcMar>
          </w:tcPr>
          <w:p>
            <w:pPr>
              <w:spacing w:before="0" w:after="0"/>
            </w:pPr>
            <w:r>
              <w:rPr>
                <w:rFonts w:ascii="Calibri" w:hAnsi="Calibri"/>
                <w:b/>
                <w:color w:val="FFFFFF"/>
                <w:sz w:val="20"/>
              </w:rPr>
              <w:t>Requirement Description</w:t>
            </w:r>
          </w:p>
        </w:tc>
        <w:tc>
          <w:tcPr>
            <w:tcW w:type="dxa" w:w="2448"/>
            <w:shd w:fill="1F4E79"/>
            <w:tcMar>
              <w:top w:w="100" w:type="dxa"/>
              <w:bottom w:w="100" w:type="dxa"/>
              <w:left w:w="120" w:type="dxa"/>
              <w:right w:w="120" w:type="dxa"/>
            </w:tcMar>
          </w:tcPr>
          <w:p>
            <w:pPr>
              <w:spacing w:before="0" w:after="0"/>
            </w:pPr>
            <w:r>
              <w:rPr>
                <w:rFonts w:ascii="Calibri" w:hAnsi="Calibri"/>
                <w:b/>
                <w:color w:val="FFFFFF"/>
                <w:sz w:val="20"/>
              </w:rPr>
              <w:t>Success Verification</w:t>
            </w:r>
          </w:p>
        </w:tc>
      </w:tr>
      <w:tr>
        <w:tc>
          <w:tcPr>
            <w:tcW w:type="dxa" w:w="2448"/>
            <w:shd w:fill="FFFFFF"/>
            <w:tcMar>
              <w:top w:w="80" w:type="dxa"/>
              <w:bottom w:w="80" w:type="dxa"/>
              <w:left w:w="120" w:type="dxa"/>
              <w:right w:w="120" w:type="dxa"/>
            </w:tcMar>
          </w:tcPr>
          <w:p>
            <w:pPr>
              <w:spacing w:before="0" w:after="0"/>
            </w:pPr>
            <w:r>
              <w:rPr>
                <w:rFonts w:ascii="Calibri" w:hAnsi="Calibri"/>
                <w:b/>
                <w:color w:val="333333"/>
                <w:sz w:val="19"/>
              </w:rPr>
              <w:t>REQ-BDR-01</w:t>
            </w:r>
          </w:p>
        </w:tc>
        <w:tc>
          <w:tcPr>
            <w:tcW w:type="dxa" w:w="2448"/>
            <w:shd w:fill="FFFFFF"/>
            <w:tcMar>
              <w:top w:w="80" w:type="dxa"/>
              <w:bottom w:w="80" w:type="dxa"/>
              <w:left w:w="120" w:type="dxa"/>
              <w:right w:w="120" w:type="dxa"/>
            </w:tcMar>
          </w:tcPr>
          <w:p>
            <w:pPr>
              <w:spacing w:before="0" w:after="0"/>
            </w:pPr>
            <w:r>
              <w:rPr>
                <w:rFonts w:ascii="Calibri" w:hAnsi="Calibri"/>
                <w:sz w:val="19"/>
              </w:rPr>
              <w:t>Performance</w:t>
            </w:r>
          </w:p>
        </w:tc>
        <w:tc>
          <w:tcPr>
            <w:tcW w:type="dxa" w:w="2448"/>
            <w:shd w:fill="FFFFFF"/>
            <w:tcMar>
              <w:top w:w="80" w:type="dxa"/>
              <w:bottom w:w="80" w:type="dxa"/>
              <w:left w:w="120" w:type="dxa"/>
              <w:right w:w="120" w:type="dxa"/>
            </w:tcMar>
          </w:tcPr>
          <w:p>
            <w:pPr>
              <w:spacing w:before="0" w:after="0"/>
            </w:pPr>
            <w:r>
              <w:rPr>
                <w:rFonts w:ascii="Calibri" w:hAnsi="Calibri"/>
                <w:sz w:val="19"/>
              </w:rPr>
              <w:t>Ingress gateway must buffer incoming requests and wake dormant VM in &lt;300ms (350ms - 650ms nominal, &lt;= 800ms total TTFB SLA).</w:t>
            </w:r>
          </w:p>
        </w:tc>
        <w:tc>
          <w:tcPr>
            <w:tcW w:type="dxa" w:w="2448"/>
            <w:shd w:fill="FFFFFF"/>
            <w:tcMar>
              <w:top w:w="80" w:type="dxa"/>
              <w:bottom w:w="80" w:type="dxa"/>
              <w:left w:w="120" w:type="dxa"/>
              <w:right w:w="120" w:type="dxa"/>
            </w:tcMar>
          </w:tcPr>
          <w:p>
            <w:pPr>
              <w:spacing w:before="0" w:after="0"/>
            </w:pPr>
            <w:r>
              <w:rPr>
                <w:rFonts w:ascii="Calibri" w:hAnsi="Calibri"/>
                <w:sz w:val="19"/>
              </w:rPr>
              <w:t>Measured gateway latency logs &lt;= 300ms to VM resume and socket connect.</w:t>
            </w:r>
          </w:p>
        </w:tc>
      </w:tr>
      <w:tr>
        <w:tc>
          <w:tcPr>
            <w:tcW w:type="dxa" w:w="2448"/>
            <w:shd w:fill="F6F8FA"/>
            <w:tcMar>
              <w:top w:w="80" w:type="dxa"/>
              <w:bottom w:w="80" w:type="dxa"/>
              <w:left w:w="120" w:type="dxa"/>
              <w:right w:w="120" w:type="dxa"/>
            </w:tcMar>
          </w:tcPr>
          <w:p>
            <w:pPr>
              <w:spacing w:before="0" w:after="0"/>
            </w:pPr>
            <w:r>
              <w:rPr>
                <w:rFonts w:ascii="Calibri" w:hAnsi="Calibri"/>
                <w:b/>
                <w:color w:val="333333"/>
                <w:sz w:val="19"/>
              </w:rPr>
              <w:t>REQ-BDR-02</w:t>
            </w:r>
          </w:p>
        </w:tc>
        <w:tc>
          <w:tcPr>
            <w:tcW w:type="dxa" w:w="2448"/>
            <w:shd w:fill="F6F8FA"/>
            <w:tcMar>
              <w:top w:w="80" w:type="dxa"/>
              <w:bottom w:w="80" w:type="dxa"/>
              <w:left w:w="120" w:type="dxa"/>
              <w:right w:w="120" w:type="dxa"/>
            </w:tcMar>
          </w:tcPr>
          <w:p>
            <w:pPr>
              <w:spacing w:before="0" w:after="0"/>
            </w:pPr>
            <w:r>
              <w:rPr>
                <w:rFonts w:ascii="Calibri" w:hAnsi="Calibri"/>
                <w:sz w:val="19"/>
              </w:rPr>
              <w:t>Lifecycle</w:t>
            </w:r>
          </w:p>
        </w:tc>
        <w:tc>
          <w:tcPr>
            <w:tcW w:type="dxa" w:w="2448"/>
            <w:shd w:fill="F6F8FA"/>
            <w:tcMar>
              <w:top w:w="80" w:type="dxa"/>
              <w:bottom w:w="80" w:type="dxa"/>
              <w:left w:w="120" w:type="dxa"/>
              <w:right w:w="120" w:type="dxa"/>
            </w:tcMar>
          </w:tcPr>
          <w:p>
            <w:pPr>
              <w:spacing w:before="0" w:after="0"/>
            </w:pPr>
            <w:r>
              <w:rPr>
                <w:rFonts w:ascii="Calibri" w:hAnsi="Calibri"/>
                <w:sz w:val="19"/>
              </w:rPr>
              <w:t>Instances with no traffic for &gt;300s must automatically revert to baseline and suspend.</w:t>
            </w:r>
          </w:p>
        </w:tc>
        <w:tc>
          <w:tcPr>
            <w:tcW w:type="dxa" w:w="2448"/>
            <w:shd w:fill="F6F8FA"/>
            <w:tcMar>
              <w:top w:w="80" w:type="dxa"/>
              <w:bottom w:w="80" w:type="dxa"/>
              <w:left w:w="120" w:type="dxa"/>
              <w:right w:w="120" w:type="dxa"/>
            </w:tcMar>
          </w:tcPr>
          <w:p>
            <w:pPr>
              <w:spacing w:before="0" w:after="0"/>
            </w:pPr>
            <w:r>
              <w:rPr>
                <w:rFonts w:ascii="Calibri" w:hAnsi="Calibri"/>
                <w:sz w:val="19"/>
              </w:rPr>
              <w:t>Verified automated snapshot rollback and Hyper-V Paused state transition.</w:t>
            </w:r>
          </w:p>
        </w:tc>
      </w:tr>
      <w:tr>
        <w:tc>
          <w:tcPr>
            <w:tcW w:type="dxa" w:w="2448"/>
            <w:shd w:fill="FFFFFF"/>
            <w:tcMar>
              <w:top w:w="80" w:type="dxa"/>
              <w:bottom w:w="80" w:type="dxa"/>
              <w:left w:w="120" w:type="dxa"/>
              <w:right w:w="120" w:type="dxa"/>
            </w:tcMar>
          </w:tcPr>
          <w:p>
            <w:pPr>
              <w:spacing w:before="0" w:after="0"/>
            </w:pPr>
            <w:r>
              <w:rPr>
                <w:rFonts w:ascii="Calibri" w:hAnsi="Calibri"/>
                <w:b/>
                <w:color w:val="333333"/>
                <w:sz w:val="19"/>
              </w:rPr>
              <w:t>REQ-BDR-03</w:t>
            </w:r>
          </w:p>
        </w:tc>
        <w:tc>
          <w:tcPr>
            <w:tcW w:type="dxa" w:w="2448"/>
            <w:shd w:fill="FFFFFF"/>
            <w:tcMar>
              <w:top w:w="80" w:type="dxa"/>
              <w:bottom w:w="80" w:type="dxa"/>
              <w:left w:w="120" w:type="dxa"/>
              <w:right w:w="120" w:type="dxa"/>
            </w:tcMar>
          </w:tcPr>
          <w:p>
            <w:pPr>
              <w:spacing w:before="0" w:after="0"/>
            </w:pPr>
            <w:r>
              <w:rPr>
                <w:rFonts w:ascii="Calibri" w:hAnsi="Calibri"/>
                <w:sz w:val="19"/>
              </w:rPr>
              <w:t>Security</w:t>
            </w:r>
          </w:p>
        </w:tc>
        <w:tc>
          <w:tcPr>
            <w:tcW w:type="dxa" w:w="2448"/>
            <w:shd w:fill="FFFFFF"/>
            <w:tcMar>
              <w:top w:w="80" w:type="dxa"/>
              <w:bottom w:w="80" w:type="dxa"/>
              <w:left w:w="120" w:type="dxa"/>
              <w:right w:w="120" w:type="dxa"/>
            </w:tcMar>
          </w:tcPr>
          <w:p>
            <w:pPr>
              <w:spacing w:before="0" w:after="0"/>
            </w:pPr>
            <w:r>
              <w:rPr>
                <w:rFonts w:ascii="Calibri" w:hAnsi="Calibri"/>
                <w:sz w:val="19"/>
              </w:rPr>
              <w:t>Guest application traffic restricted to Ingress Gateway port forwarding (:8080) and strict enterprise datastore and infrastructure egress whitelist (SQL, PostgreSQL, S3 private endpoints, Internal DNS, Kerberos); arbitrary public internet egress blocked.</w:t>
            </w:r>
          </w:p>
        </w:tc>
        <w:tc>
          <w:tcPr>
            <w:tcW w:type="dxa" w:w="2448"/>
            <w:shd w:fill="FFFFFF"/>
            <w:tcMar>
              <w:top w:w="80" w:type="dxa"/>
              <w:bottom w:w="80" w:type="dxa"/>
              <w:left w:w="120" w:type="dxa"/>
              <w:right w:w="120" w:type="dxa"/>
            </w:tcMar>
          </w:tcPr>
          <w:p>
            <w:pPr>
              <w:spacing w:before="0" w:after="0"/>
            </w:pPr>
            <w:r>
              <w:rPr>
                <w:rFonts w:ascii="Calibri" w:hAnsi="Calibri"/>
                <w:sz w:val="19"/>
              </w:rPr>
              <w:t>Network firewall rules strictly enforce isolation; no unauthorized internet egress.</w:t>
            </w:r>
          </w:p>
        </w:tc>
      </w:tr>
      <w:tr>
        <w:tc>
          <w:tcPr>
            <w:tcW w:type="dxa" w:w="2448"/>
            <w:shd w:fill="F6F8FA"/>
            <w:tcMar>
              <w:top w:w="80" w:type="dxa"/>
              <w:bottom w:w="80" w:type="dxa"/>
              <w:left w:w="120" w:type="dxa"/>
              <w:right w:w="120" w:type="dxa"/>
            </w:tcMar>
          </w:tcPr>
          <w:p>
            <w:pPr>
              <w:spacing w:before="0" w:after="0"/>
            </w:pPr>
            <w:r>
              <w:rPr>
                <w:rFonts w:ascii="Calibri" w:hAnsi="Calibri"/>
                <w:b/>
                <w:color w:val="333333"/>
                <w:sz w:val="19"/>
              </w:rPr>
              <w:t>REQ-BDR-04</w:t>
            </w:r>
          </w:p>
        </w:tc>
        <w:tc>
          <w:tcPr>
            <w:tcW w:type="dxa" w:w="2448"/>
            <w:shd w:fill="F6F8FA"/>
            <w:tcMar>
              <w:top w:w="80" w:type="dxa"/>
              <w:bottom w:w="80" w:type="dxa"/>
              <w:left w:w="120" w:type="dxa"/>
              <w:right w:w="120" w:type="dxa"/>
            </w:tcMar>
          </w:tcPr>
          <w:p>
            <w:pPr>
              <w:spacing w:before="0" w:after="0"/>
            </w:pPr>
            <w:r>
              <w:rPr>
                <w:rFonts w:ascii="Calibri" w:hAnsi="Calibri"/>
                <w:sz w:val="19"/>
              </w:rPr>
              <w:t>Packaging</w:t>
            </w:r>
          </w:p>
        </w:tc>
        <w:tc>
          <w:tcPr>
            <w:tcW w:type="dxa" w:w="2448"/>
            <w:shd w:fill="F6F8FA"/>
            <w:tcMar>
              <w:top w:w="80" w:type="dxa"/>
              <w:bottom w:w="80" w:type="dxa"/>
              <w:left w:w="120" w:type="dxa"/>
              <w:right w:w="120" w:type="dxa"/>
            </w:tcMar>
          </w:tcPr>
          <w:p>
            <w:pPr>
              <w:spacing w:before="0" w:after="0"/>
            </w:pPr>
            <w:r>
              <w:rPr>
                <w:rFonts w:ascii="Calibri" w:hAnsi="Calibri"/>
                <w:sz w:val="19"/>
              </w:rPr>
              <w:t>Production image must exclude developer toolchains, debuggers, and source repositories.</w:t>
            </w:r>
          </w:p>
        </w:tc>
        <w:tc>
          <w:tcPr>
            <w:tcW w:type="dxa" w:w="2448"/>
            <w:shd w:fill="F6F8FA"/>
            <w:tcMar>
              <w:top w:w="80" w:type="dxa"/>
              <w:bottom w:w="80" w:type="dxa"/>
              <w:left w:w="120" w:type="dxa"/>
              <w:right w:w="120" w:type="dxa"/>
            </w:tcMar>
          </w:tcPr>
          <w:p>
            <w:pPr>
              <w:spacing w:before="0" w:after="0"/>
            </w:pPr>
            <w:r>
              <w:rPr>
                <w:rFonts w:ascii="Calibri" w:hAnsi="Calibri"/>
                <w:sz w:val="19"/>
              </w:rPr>
              <w:t>Verified clean golden base image (winserv2025-prod-adpa.vhdx) containing only pre-jitted production binaries and hardened OS.</w:t>
            </w:r>
          </w:p>
        </w:tc>
      </w:tr>
      <w:tr>
        <w:tc>
          <w:tcPr>
            <w:tcW w:type="dxa" w:w="2448"/>
            <w:shd w:fill="FFFFFF"/>
            <w:tcMar>
              <w:top w:w="80" w:type="dxa"/>
              <w:bottom w:w="80" w:type="dxa"/>
              <w:left w:w="120" w:type="dxa"/>
              <w:right w:w="120" w:type="dxa"/>
            </w:tcMar>
          </w:tcPr>
          <w:p>
            <w:pPr>
              <w:spacing w:before="0" w:after="0"/>
            </w:pPr>
            <w:r>
              <w:rPr>
                <w:rFonts w:ascii="Calibri" w:hAnsi="Calibri"/>
                <w:b/>
                <w:color w:val="333333"/>
                <w:sz w:val="19"/>
              </w:rPr>
              <w:t>REQ-BDR-05</w:t>
            </w:r>
          </w:p>
        </w:tc>
        <w:tc>
          <w:tcPr>
            <w:tcW w:type="dxa" w:w="2448"/>
            <w:shd w:fill="FFFFFF"/>
            <w:tcMar>
              <w:top w:w="80" w:type="dxa"/>
              <w:bottom w:w="80" w:type="dxa"/>
              <w:left w:w="120" w:type="dxa"/>
              <w:right w:w="120" w:type="dxa"/>
            </w:tcMar>
          </w:tcPr>
          <w:p>
            <w:pPr>
              <w:spacing w:before="0" w:after="0"/>
            </w:pPr>
            <w:r>
              <w:rPr>
                <w:rFonts w:ascii="Calibri" w:hAnsi="Calibri"/>
                <w:sz w:val="19"/>
              </w:rPr>
              <w:t>Elasticity</w:t>
            </w:r>
          </w:p>
        </w:tc>
        <w:tc>
          <w:tcPr>
            <w:tcW w:type="dxa" w:w="2448"/>
            <w:shd w:fill="FFFFFF"/>
            <w:tcMar>
              <w:top w:w="80" w:type="dxa"/>
              <w:bottom w:w="80" w:type="dxa"/>
              <w:left w:w="120" w:type="dxa"/>
              <w:right w:w="120" w:type="dxa"/>
            </w:tcMar>
          </w:tcPr>
          <w:p>
            <w:pPr>
              <w:spacing w:before="0" w:after="0"/>
            </w:pPr>
            <w:r>
              <w:rPr>
                <w:rFonts w:ascii="Calibri" w:hAnsi="Calibri"/>
                <w:sz w:val="19"/>
              </w:rPr>
              <w:t>As soon as demand indicators surge or a standby instance is leased, the pool must automatically unpause/replenish ready instances up to Kmax.</w:t>
            </w:r>
          </w:p>
        </w:tc>
        <w:tc>
          <w:tcPr>
            <w:tcW w:type="dxa" w:w="2448"/>
            <w:shd w:fill="FFFFFF"/>
            <w:tcMar>
              <w:top w:w="80" w:type="dxa"/>
              <w:bottom w:w="80" w:type="dxa"/>
              <w:left w:w="120" w:type="dxa"/>
              <w:right w:w="120" w:type="dxa"/>
            </w:tcMar>
          </w:tcPr>
          <w:p>
            <w:pPr>
              <w:spacing w:before="0" w:after="0"/>
            </w:pPr>
            <w:r>
              <w:rPr>
                <w:rFonts w:ascii="Calibri" w:hAnsi="Calibri"/>
                <w:sz w:val="19"/>
              </w:rPr>
              <w:t>Verified standby pool depth auto-replenishment with zero queuing drops under concurrent load.</w:t>
            </w:r>
          </w:p>
        </w:tc>
      </w:tr>
    </w:tbl>
    <w:p>
      <w:pPr>
        <w:spacing w:after="12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