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Upstream Scope Drift &amp; Maintenance Strategy</w:t>
      </w:r>
    </w:p>
    <w:p>
      <w:pPr>
        <w:spacing w:before="0" w:after="280"/>
      </w:pPr>
      <w:r>
        <w:rPr>
          <w:rFonts w:ascii="Calibri" w:hAnsi="Calibri"/>
          <w:color w:val="595959"/>
          <w:sz w:val="24"/>
        </w:rPr>
        <w:t>Formulation of Architectural Divergence from microsoft/mxc and Long-Term Synchronization Framework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1. Executive Summary &amp; Purpose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The upstream Microsoft eXecution Container (microsoft/mxc) repository is an open-source, client-side containment SDK designed for executing untrusted model output and developer tools on workstations. Our initiative extended mxc into an enterprise-grade, bare-metal serverless execution engine: the MXC Hyper-V Just-in-Time (JIT) Scale-to-Zero platform. This document formulates the scope drift and establishes the governance model to maintain long-term synchronization.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2. Formulation of Scope Drift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Architecture Vector</w:t>
            </w:r>
          </w:p>
        </w:tc>
        <w:tc>
          <w:tcPr>
            <w:tcW w:type="dxa" w:w="244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Upstream microsoft/mxc Baseline</w:t>
            </w:r>
          </w:p>
        </w:tc>
        <w:tc>
          <w:tcPr>
            <w:tcW w:type="dxa" w:w="244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Our Enterprise Implementation</w:t>
            </w:r>
          </w:p>
        </w:tc>
        <w:tc>
          <w:tcPr>
            <w:tcW w:type="dxa" w:w="244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Significance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Primary Workload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Interactive, short-lived CLI command execution (stdio-driven)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Continuous, long-running daemonized services (ADPA/SIDPA) on port 8080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Shifts runtime from batch job execution to stateful service hosting</w:t>
            </w:r>
          </w:p>
        </w:tc>
      </w:tr>
      <w:tr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Isolation Tier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Shared-kernel containers (AppContainer, WSLC, Bubblewrap)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Dedicated hardware Type-1 Hyper-V (vCPUs, SLAT, unshared OS kernel)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Meets banking/defense compliance prohibiting shared-kernel execution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Lifecycle &amp; State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Synchronous provision -&gt; execute -&gt; destroy per command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Standby pools, paused RAM states (baseline-hot-ready), .avhdx rollback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Achieves &lt;300ms wake-on-request with 0.0% idle compute cost</w:t>
            </w:r>
          </w:p>
        </w:tc>
      </w:tr>
      <w:tr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Network Boundary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In-process proxy, basic localhost loopback suppression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Connection-buffering TCP gateway + Ring-0 Virtual Switch Port ACLs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Airgapped default-deny egress enforced at the hypervisor layer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Scaling Architecture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Single instance on-demand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Sliding-window velocity tracking (&gt;=10 req/s) driving burst scaling (K=1 -&gt; K=5)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Eliminates head-of-line blocking under burst traffic</w:t>
            </w:r>
          </w:p>
        </w:tc>
      </w:tr>
      <w:tr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Tooling &amp; Ops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Developer CLI tools (wxc, mxc)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FastMCP server for AI agents; headless CI/CD image baking &amp; audit gate</w:t>
            </w:r>
          </w:p>
        </w:tc>
        <w:tc>
          <w:tcPr>
            <w:tcW w:type="dxa" w:w="2448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Production-ready automation interface for CI/CD and AI agents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3. Four-Layer Upstream Maintenance Strategy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3.1 Layer 1: Core Fork Containment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Upstream core files (src/mxc-sdk/src/core/*, Cargo.toml) contain the absolute minimum invasive changes. All Hyper-V lifecycle traits, error types, and dispatch logic are isolated in src/mxc-sdk/src/backends/hyperv/.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3.2 Layer 2: Cargo Feature Gating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All Windows-specific P/Invoke code, VMBus RPCs, and PowerShell bindings are strictly gated behind the 'hyperv' Cargo feature flag. On Linux/macOS, the module compiles to an inert stub, guaranteeing upstream cross-platform CI pipelines pass without failure.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3.3 Layer 3: Physical Directory Isolation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All PowerShell automation, FastMCP servers, and gateways live exclusively in scripts/hyperv/ and docs/hyperv/. Because upstream microsoft/mxc has no scripts/hyperv/ directory, git merges in these paths always resolve with zero conflicts.</w:t>
      </w:r>
    </w:p>
    <w:p>
      <w:pPr>
        <w:keepNext/>
        <w:spacing w:before="240" w:after="80"/>
      </w:pPr>
      <w:r>
        <w:rPr>
          <w:rFonts w:ascii="Calibri" w:hAnsi="Calibri"/>
          <w:b/>
          <w:color w:val="282828"/>
          <w:sz w:val="25"/>
        </w:rPr>
        <w:t>3.4 Layer 4: Upstream Rebase &amp; Synchronization Cadence</w:t>
      </w:r>
    </w:p>
    <w:p>
      <w:pPr>
        <w:spacing w:before="0" w:after="120" w:line="276" w:lineRule="auto"/>
      </w:pPr>
      <w:r>
        <w:rPr>
          <w:rFonts w:ascii="Calibri" w:hAnsi="Calibri"/>
          <w:color w:val="333333"/>
          <w:sz w:val="21"/>
        </w:rPr>
        <w:t>Maintain a pristine upstream mirror (vendor/mxc-upstream). Rebase bi-weekly or upon upstream minor releases. An automated weekly CI trial merge detects interface drift in mxc_contract or Backend traits before technical debt accumulates.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4. Upstream Contribution vs. Proprietary Overlay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96"/>
        <w:gridCol w:w="4896"/>
      </w:tblGrid>
      <w:tr>
        <w:tc>
          <w:tcPr>
            <w:tcW w:type="dxa" w:w="4896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Upstream Contribution Candidates (PR to microsoft/mxc)</w:t>
            </w:r>
          </w:p>
        </w:tc>
        <w:tc>
          <w:tcPr>
            <w:tcW w:type="dxa" w:w="4896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Enterprise Proprietary Overlay (Maintained in this Fork)</w:t>
            </w:r>
          </w:p>
        </w:tc>
      </w:tr>
      <w:tr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StateAwareBackend &amp; StandbyPoolManager trait definitions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ADPA / SIDPA Production image baking pipelines</w:t>
            </w:r>
          </w:p>
        </w:tc>
      </w:tr>
      <w:tr>
        <w:tc>
          <w:tcPr>
            <w:tcW w:type="dxa" w:w="4896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Windows Hyper-V Host platform detection probe (probe.rs)</w:t>
            </w:r>
          </w:p>
        </w:tc>
        <w:tc>
          <w:tcPr>
            <w:tcW w:type="dxa" w:w="4896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Ring-0 Hyper-V Virtual Switch Port ACL automation (ADR-005)</w:t>
            </w:r>
          </w:p>
        </w:tc>
      </w:tr>
      <w:tr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Generic Hyper-V process container backend scaffold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Connection-buffering TCP hold-queue &amp; velocity autoscaler</w:t>
            </w:r>
          </w:p>
        </w:tc>
      </w:tr>
      <w:tr>
        <w:tc>
          <w:tcPr>
            <w:tcW w:type="dxa" w:w="4896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3333"/>
                <w:sz w:val="19"/>
              </w:rPr>
              <w:t>Basic VM naming and lifecycle error contracts</w:t>
            </w:r>
          </w:p>
        </w:tc>
        <w:tc>
          <w:tcPr>
            <w:tcW w:type="dxa" w:w="4896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FastMCP autonomous AI agent tools &amp; compliance audit gates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FUTURE HORIZON &amp; SCALING ENHANCEMENT:</w:t>
              <w:br/>
            </w:r>
            <w:r>
              <w:rPr>
                <w:rFonts w:ascii="Calibri" w:hAnsi="Calibri"/>
                <w:i/>
                <w:color w:val="464646"/>
                <w:sz w:val="20"/>
              </w:rPr>
              <w:t>Ongoing Maintenance Checklist:</w:t>
              <w:br/>
              <w:t>1. Fetch latest upstream tags: git fetch upstream --tags</w:t>
              <w:br/>
              <w:t>2. Check diff in core traits: git diff HEAD..upstream/main src/mxc-sdk/src/core/</w:t>
              <w:br/>
              <w:t>3. Rebase: git rebase upstream/main</w:t>
              <w:br/>
              <w:t>4. Validate cross-compilation: cargo check --target x86_64-unknown-linux-gnu</w:t>
              <w:br/>
              <w:t>5. Execute Hyper-V compliance audit gate: powershell scripts/hyperv/audit_production_image.ps1</w:t>
              <w:br/>
              <w:t>6. Run JIT wake benchmark: python scripts/hyperv/dev_harness/benchmark_jit_wake.py --dry-run</w:t>
              <w:br/>
              <w:t>7. Regenerate documentation suite: python scripts/hyperv/generate_architecture_docx.py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