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Pillar III: Functional Design Document (FDD)</w:t>
      </w:r>
    </w:p>
    <w:p>
      <w:pPr>
        <w:spacing w:before="0" w:after="280"/>
      </w:pPr>
      <w:r>
        <w:rPr>
          <w:rFonts w:ascii="Calibri" w:hAnsi="Calibri"/>
          <w:color w:val="595959"/>
          <w:sz w:val="24"/>
        </w:rPr>
        <w:t>Just-in-Time (JIT) Scale-to-Zero Production Hyper-V Sandboxes (ADPA / SIDPA)</w:t>
      </w:r>
    </w:p>
    <w:p>
      <w:pPr>
        <w:keepNext/>
        <w:spacing w:before="320" w:after="120"/>
      </w:pPr>
      <w:r>
        <w:rPr>
          <w:rFonts w:ascii="Calibri" w:hAnsi="Calibri"/>
          <w:b/>
          <w:color w:val="1F4E79"/>
          <w:sz w:val="30"/>
        </w:rPr>
        <w:t>1. System Architecture &amp; Subsystem Decomposition</w:t>
      </w:r>
    </w:p>
    <w:p>
      <w:pPr>
        <w:spacing w:before="0" w:after="120" w:line="276" w:lineRule="auto"/>
      </w:pPr>
      <w:r>
        <w:rPr>
          <w:rFonts w:ascii="Calibri" w:hAnsi="Calibri"/>
          <w:color w:val="333333"/>
          <w:sz w:val="21"/>
        </w:rPr>
        <w:t>The MXC Production environment decomposes into three tightly coordinated subsystems: (1) The JIT Ingress Proxy Gateway (Buffer Queue, Wake Signal IPC, In-Flight Request Tracker, Health/Clock Poller), (2) The MXC Hardware Lifecycle Controller (Warm Pool Manager, Inactivity Reaper, Differencing Disk Discard, TransitionLock), and (3) The Guest Production Appliance (ADPA/SIDPA Windows Service, Health Probe :8080/health, Internal Egress Whitelist, Memory-Resident Working Set).</w:t>
      </w:r>
    </w:p>
    <w:p>
      <w:pPr>
        <w:keepNext/>
        <w:spacing w:before="320" w:after="120"/>
      </w:pPr>
      <w:r>
        <w:rPr>
          <w:rFonts w:ascii="Calibri" w:hAnsi="Calibri"/>
          <w:b/>
          <w:color w:val="1F4E79"/>
          <w:sz w:val="30"/>
        </w:rPr>
        <w:t>2. Component Specifications</w:t>
      </w:r>
    </w:p>
    <w:p>
      <w:pPr>
        <w:keepNext/>
        <w:spacing w:before="240" w:after="80"/>
      </w:pPr>
      <w:r>
        <w:rPr>
          <w:rFonts w:ascii="Calibri" w:hAnsi="Calibri"/>
          <w:b/>
          <w:color w:val="282828"/>
          <w:sz w:val="25"/>
        </w:rPr>
        <w:t>2.1 Component 1: JIT Ingress Proxy Gateway</w:t>
      </w:r>
    </w:p>
    <w:p>
      <w:pPr>
        <w:spacing w:before="0" w:after="120" w:line="276" w:lineRule="auto"/>
      </w:pPr>
      <w:r>
        <w:rPr>
          <w:rFonts w:ascii="Calibri" w:hAnsi="Calibri"/>
          <w:color w:val="333333"/>
          <w:sz w:val="21"/>
        </w:rPr>
        <w:t>Reverse Proxy Engine (YARP / Envoy / FastMCP Gateway) running as a system service on the Hyper-V host or DMZ node. Responsibilities include terminating client TLS connections (:443), matching incoming paths to production pool targets (/api/v1/adpa/* -&gt; pool:prod-adpa), maintaining a buffered connection queue while dormant, dispatching wake commands to MXC, proxying HTTP payloads, maintaining an atomic active_open_requests counter, enforcing a hard max_request_execution_timeout_seconds (default 900s) to prevent hung requests from permanently blocking reaping, and executing atomic TransitionLock reaping to prevent race conditions.</w:t>
      </w:r>
    </w:p>
    <w:p>
      <w:pPr>
        <w:spacing w:before="120" w:after="40"/>
      </w:pPr>
      <w:r>
        <w:rPr>
          <w:rFonts w:ascii="Calibri" w:hAnsi="Calibri"/>
          <w:b/>
          <w:color w:val="595959"/>
          <w:sz w:val="19"/>
        </w:rPr>
        <w:t>Proxy Route Configuration Schema:</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w:t>
              <w:br/>
              <w:t xml:space="preserve">  "route_id": "adpa_production_service",</w:t>
              <w:br/>
              <w:t xml:space="preserve">  "match_path": "/api/v1/adpa/{**catch-all}",</w:t>
              <w:br/>
              <w:t xml:space="preserve">  "target_pool": "prod-adpa",</w:t>
              <w:br/>
              <w:t xml:space="preserve">  "guest_port": 8080,</w:t>
              <w:br/>
              <w:t xml:space="preserve">  "wake_timeout_ms": 3000,</w:t>
              <w:br/>
              <w:t xml:space="preserve">  "idle_timeout_seconds": 300,</w:t>
              <w:br/>
              <w:t xml:space="preserve">  "max_request_execution_timeout_seconds": 900,</w:t>
              <w:br/>
              <w:t xml:space="preserve">  "health_check_path": "/health"</w:t>
              <w:br/>
              <w:t>}</w:t>
            </w:r>
          </w:p>
        </w:tc>
      </w:tr>
    </w:tbl>
    <w:p>
      <w:pPr>
        <w:spacing w:after="80"/>
      </w:pP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Intelligent Circuit-Breaking &amp; Surge Rate-Limiting: Add adaptive token-bucket rate limiting and circuit-breaking at the Ingress Gateway level to protect waking pools from DDoS amplification attacks or thundering-herd webhook storms during traffic spikes.</w:t>
            </w:r>
          </w:p>
        </w:tc>
      </w:tr>
    </w:tbl>
    <w:p>
      <w:pPr>
        <w:spacing w:after="120"/>
      </w:pPr>
    </w:p>
    <w:p>
      <w:pPr>
        <w:keepNext/>
        <w:spacing w:before="240" w:after="80"/>
      </w:pPr>
      <w:r>
        <w:rPr>
          <w:rFonts w:ascii="Calibri" w:hAnsi="Calibri"/>
          <w:b/>
          <w:color w:val="282828"/>
          <w:sz w:val="25"/>
        </w:rPr>
        <w:t>2.2 Component 2: MXC Hardware Lifecycle Controller (wxc-exec)</w:t>
      </w:r>
    </w:p>
    <w:p>
      <w:pPr>
        <w:spacing w:before="0" w:after="120" w:line="276" w:lineRule="auto"/>
      </w:pPr>
      <w:r>
        <w:rPr>
          <w:rFonts w:ascii="Calibri" w:hAnsi="Calibri"/>
          <w:color w:val="333333"/>
          <w:sz w:val="21"/>
        </w:rPr>
        <w:t>Native Rust Hyper-V Backend (src/mxc-sdk/src/backends/hyperv/) with cross-process atomic locking (TransitionLock). Maintains pool state in %ProgramData%\mxc\hyperv\pool\pool_state.json, executes sub-300ms pool-lease operations via Resume-VM, executes pool-release rollbacks (restoring baseline-hot-ready, deleting .avhdx, and invoking Suspend-VM), and exposes FastMCP/REST telemetry.</w:t>
      </w:r>
    </w:p>
    <w:p>
      <w:pPr>
        <w:spacing w:before="120" w:after="40"/>
      </w:pPr>
      <w:r>
        <w:rPr>
          <w:rFonts w:ascii="Calibri" w:hAnsi="Calibri"/>
          <w:b/>
          <w:color w:val="595959"/>
          <w:sz w:val="19"/>
        </w:rPr>
        <w:t>Lifecycle State Machine (Mermaid):</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stateDiagram-v2</w:t>
              <w:br/>
              <w:t xml:space="preserve">    [*] --&gt; ColdProvisioned: Differencing Disk Attached (0MB Host RAM)</w:t>
              <w:br/>
              <w:t xml:space="preserve">    ColdProvisioned --&gt; StandbyPaused: Background Pre-Warm &amp; Suspend-VM (~1.5s, 1GB RAM, 0% CPU)</w:t>
              <w:br/>
              <w:t xml:space="preserve">    StandbyPaused --&gt; ActiveRunning: Client Request (pool_lease &lt;300ms)</w:t>
              <w:br/>
              <w:t xml:space="preserve">    ActiveRunning --&gt; ActiveRunning: Inbound HTTP Traffic (active_open_requests &gt; 0)</w:t>
              <w:br/>
              <w:t xml:space="preserve">    ActiveRunning --&gt; ReapingState: Idle Timeout (active_open_requests == 0 &amp; t &gt; 300s)</w:t>
              <w:br/>
              <w:t xml:space="preserve">    ReapingState --&gt; StandbyPaused: Discard .avhdx &amp; Restore Baseline (if pool count &lt;= Kmax)</w:t>
              <w:br/>
              <w:t xml:space="preserve">    ReapingState --&gt; ColdProvisioned: Reclaim Host RAM / Stop-VM (if surplus beyond Kmin)</w:t>
              <w:br/>
              <w:t xml:space="preserve">    ActiveRunning --&gt; Maintenance: Manual Admin Lock</w:t>
              <w:br/>
              <w:t xml:space="preserve">    Maintenance --&gt; StandbyPaused: Admin Unlock</w:t>
            </w:r>
          </w:p>
        </w:tc>
      </w:tr>
    </w:tbl>
    <w:p>
      <w:pPr>
        <w:spacing w:after="80"/>
      </w:pPr>
    </w:p>
    <w:p>
      <w:pPr>
        <w:spacing w:before="0" w:after="120" w:line="276" w:lineRule="auto"/>
      </w:pPr>
      <w:r>
        <w:rPr>
          <w:rFonts w:ascii="Calibri" w:hAnsi="Calibri"/>
          <w:b/>
          <w:color w:val="282828"/>
          <w:sz w:val="21"/>
        </w:rPr>
        <w:t xml:space="preserve">• Elastic Standby Replenishment &amp; Autoscaler: </w:t>
      </w:r>
      <w:r>
        <w:rPr>
          <w:rFonts w:ascii="Calibri" w:hAnsi="Calibri"/>
          <w:color w:val="333333"/>
          <w:sz w:val="21"/>
        </w:rPr>
        <w:t>Low Watermark Enforcement (Kmin &gt;= 1): The controller maintains ready-state standby instances. When an instance is leased, an async background worker immediately unpauses/promotes a ColdProvisioned VM in ~1.5s. High Watermark Surge Autoscaling (Kmax up to 5-10): Velocity and queue triggers dynamically expand the buffer to absorb burst traffic with zero cold boots.</w:t>
      </w:r>
    </w:p>
    <w:p>
      <w:pPr>
        <w:spacing w:before="120" w:after="40"/>
      </w:pPr>
      <w:r>
        <w:rPr>
          <w:rFonts w:ascii="Calibri" w:hAnsi="Calibri"/>
          <w:b/>
          <w:color w:val="595959"/>
          <w:sz w:val="19"/>
        </w:rPr>
        <w:t>Pool Configuration Schema (pool_config.json):</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w:t>
              <w:br/>
              <w:t xml:space="preserve">  "pool_id": "prod-adpa",</w:t>
              <w:br/>
              <w:t xml:space="preserve">  "min_ready_standby": 1,</w:t>
              <w:br/>
              <w:t xml:space="preserve">  "max_ready_standby": 5,</w:t>
              <w:br/>
              <w:t xml:space="preserve">  "surge_velocity_threshold_rps": 10,</w:t>
              <w:br/>
              <w:t xml:space="preserve">  "queue_depth_trigger": 1,</w:t>
              <w:br/>
              <w:t xml:space="preserve">  "idle_timeout_seconds": 300,</w:t>
              <w:br/>
              <w:t xml:space="preserve">  "reaping_cooldown_seconds": 180,</w:t>
              <w:br/>
              <w:t xml:space="preserve">  "pre_warm_schedule": [</w:t>
              <w:br/>
              <w:t xml:space="preserve">    { "cron": "0 8 * * 1-5", "target_ready": 4, "duration_minutes": 60 }</w:t>
              <w:br/>
              <w:t xml:space="preserve">  ]</w:t>
              <w:br/>
              <w:t>}</w:t>
            </w:r>
          </w:p>
        </w:tc>
      </w:tr>
    </w:tbl>
    <w:p>
      <w:pPr>
        <w:spacing w:after="80"/>
      </w:pP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Adaptive Idle Timeout Analytics: Replace static 300-second timers with adaptive inactivity thresholds driven by workload telemetry—keeping interactive multi-step workflow sessions warm longer while aggressively reclaiming single-shot webhook instances within 30 seconds.</w:t>
            </w:r>
          </w:p>
        </w:tc>
      </w:tr>
    </w:tbl>
    <w:p>
      <w:pPr>
        <w:spacing w:after="120"/>
      </w:pPr>
    </w:p>
    <w:p>
      <w:pPr>
        <w:keepNext/>
        <w:spacing w:before="240" w:after="80"/>
      </w:pPr>
      <w:r>
        <w:rPr>
          <w:rFonts w:ascii="Calibri" w:hAnsi="Calibri"/>
          <w:b/>
          <w:color w:val="282828"/>
          <w:sz w:val="25"/>
        </w:rPr>
        <w:t>2.3 Component 3: Guest Production Appliance &amp; Image Baking Pipeline (ADPA / SIDPA)</w:t>
      </w:r>
    </w:p>
    <w:p>
      <w:pPr>
        <w:spacing w:before="0" w:after="120" w:line="276" w:lineRule="auto"/>
      </w:pPr>
      <w:r>
        <w:rPr>
          <w:rFonts w:ascii="Calibri" w:hAnsi="Calibri"/>
          <w:color w:val="333333"/>
          <w:sz w:val="21"/>
        </w:rPr>
        <w:t>Runs on Windows Server 2025 Core or Hardened Desktop Experience (winserv2025-prod-adpa.vhdx). Application runs as a self-hosted Windows Service (Kestrel / FastAPI / Go service) on 0.0.0.0:8080. GET /health verifies service health, asserts Hyper-V clock synchronization (abs(GuestTime - HostTime) &lt; 50ms) to prevent TLS/Kerberos clock skew, re-seeds hardware PRNG entropy (RDRAND/BCryptGenRandom), and flushes stale connection pools (ClearAllPools()). Outbound traffic is restricted via an Internal Data Plane Whitelist (TCP 1433 for SQL Server, TCP 5432 for PostgreSQL, TCP 443 for S3 Private Endpoints, UDP/TCP 53 for Internal DNS, and UDP/TCP 88 for Kerberos) with arbitrary public internet egress blocked.</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Zero-Downtime Rolling VHDX Updates: Implement a rolling baseline promotion pipeline that registers newly baked production VHDX images into the standby pool alongside active sessions, seamlessly draining older baseline VMs upon idle timeout without dropping a single in-flight client connection.</w:t>
            </w:r>
          </w:p>
        </w:tc>
      </w:tr>
    </w:tbl>
    <w:p>
      <w:pPr>
        <w:spacing w:after="120"/>
      </w:pPr>
    </w:p>
    <w:p>
      <w:pPr>
        <w:keepNext/>
        <w:spacing w:before="320" w:after="120"/>
      </w:pPr>
      <w:r>
        <w:rPr>
          <w:rFonts w:ascii="Calibri" w:hAnsi="Calibri"/>
          <w:b/>
          <w:color w:val="1F4E79"/>
          <w:sz w:val="30"/>
        </w:rPr>
        <w:t>3. Wake-on-Request Sequence &amp; Automated Reaping Protocol</w:t>
      </w:r>
    </w:p>
    <w:p>
      <w:pPr>
        <w:spacing w:before="120" w:after="40"/>
      </w:pPr>
      <w:r>
        <w:rPr>
          <w:rFonts w:ascii="Calibri" w:hAnsi="Calibri"/>
          <w:b/>
          <w:color w:val="595959"/>
          <w:sz w:val="19"/>
        </w:rPr>
        <w:t>Wake-on-Request Execution Sequence:</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sequenceDiagram</w:t>
              <w:br/>
              <w:t xml:space="preserve">    autonumber</w:t>
              <w:br/>
              <w:t xml:space="preserve">    actor Client as End User / REST Client</w:t>
              <w:br/>
              <w:t xml:space="preserve">    participant Proxy as Ingress Gateway</w:t>
              <w:br/>
              <w:t xml:space="preserve">    participant MXC as MXC Control Plane (wxc-exec)</w:t>
              <w:br/>
              <w:t xml:space="preserve">    participant HyperV as Hypervisor Core</w:t>
              <w:br/>
              <w:t xml:space="preserve">    participant Guest as ADPA Service (Guest :8080)</w:t>
              <w:br/>
              <w:t xml:space="preserve">    participant DB as Internal Enterprise Datastore</w:t>
              <w:br/>
              <w:br/>
              <w:t xml:space="preserve">    Note over HyperV,Guest: State: StandbyPaused (0% CPU, Memory Resident)</w:t>
              <w:br/>
              <w:t xml:space="preserve">    Client-&gt;&gt;Proxy: POST /api/v1/adpa/process (Payload: 2MB JSON)</w:t>
              <w:br/>
              <w:t xml:space="preserve">    Proxy-&gt;&gt;Proxy: Hold request in memory buffer queue</w:t>
              <w:br/>
              <w:t xml:space="preserve">    Proxy-&gt;&gt;MXC: IPC: lease_pool_member("prod-adpa")</w:t>
              <w:br/>
              <w:t xml:space="preserve">    MXC-&gt;&gt;HyperV: Resume-VM -VMName "mxc-hv-prod-adpa-01"</w:t>
              <w:br/>
              <w:t xml:space="preserve">    HyperV--&gt;&gt;MXC: Resumed (&lt;300ms)</w:t>
              <w:br/>
              <w:t xml:space="preserve">    MXC--&gt;&gt;Proxy: Leased Sandbox ID: "hv:prod-adpa-01", IP: "172.24.100.5"</w:t>
              <w:br/>
              <w:t xml:space="preserve">    loop Health, PRNG &amp; DB Pool Probe (Up to 1000ms, typically 50ms)</w:t>
              <w:br/>
              <w:t xml:space="preserve">        Proxy-&gt;&gt;Guest: GET http://172.24.100.5:8080/health</w:t>
              <w:br/>
              <w:t xml:space="preserve">        Guest-&gt;&gt;Guest: Re-seed PRNG (RDRAND), Clear DB Pools (ClearAllPools), Assert Host Clock Sync</w:t>
              <w:br/>
              <w:t xml:space="preserve">        Guest--&gt;&gt;Proxy: HTTP 200 {"status": "healthy", "clock_synced": true}</w:t>
              <w:br/>
              <w:t xml:space="preserve">    end</w:t>
              <w:br/>
              <w:t xml:space="preserve">    Proxy-&gt;&gt;Guest: Forward buffered POST (Increment active_open_requests)</w:t>
              <w:br/>
              <w:t xml:space="preserve">    Guest-&gt;&gt;DB: TCP 1433/5432/443: Query &amp; Write Results via Egress Whitelist</w:t>
              <w:br/>
              <w:t xml:space="preserve">    DB--&gt;&gt;Guest: Transaction OK</w:t>
              <w:br/>
              <w:t xml:space="preserve">    Guest--&gt;&gt;Proxy: HTTP 200 {"result": "success", "txId": "9482"} (Decrement active_open_requests)</w:t>
              <w:br/>
              <w:t xml:space="preserve">    Proxy--&gt;&gt;Client: HTTP 200 {"result": "success", "txId": "9482"}</w:t>
              <w:br/>
              <w:t xml:space="preserve">    Note over Proxy: If active_open_requests == 0, reset idle countdown (300 seconds)</w:t>
            </w:r>
          </w:p>
        </w:tc>
      </w:tr>
    </w:tbl>
    <w:p>
      <w:pPr>
        <w:spacing w:after="80"/>
      </w:pPr>
    </w:p>
    <w:p>
      <w:pPr>
        <w:spacing w:before="0" w:after="120" w:line="276" w:lineRule="auto"/>
      </w:pPr>
      <w:r>
        <w:rPr>
          <w:rFonts w:ascii="Calibri" w:hAnsi="Calibri"/>
          <w:b/>
          <w:color w:val="282828"/>
          <w:sz w:val="21"/>
        </w:rPr>
        <w:t xml:space="preserve">Automated Reaping &amp; Baseline Reset Protocol: </w:t>
      </w:r>
      <w:r>
        <w:rPr>
          <w:rFonts w:ascii="Calibri" w:hAnsi="Calibri"/>
          <w:color w:val="333333"/>
          <w:sz w:val="21"/>
        </w:rPr>
        <w:t>When active_open_requests == 0 and elapsed time exceeds idle_timeout_seconds (300s), the Ingress Proxy acquires an atomic TransitionLock marking the VM Reaping in the routing table (eliminating race conditions). It then issues pool_release: MXC disconnects network adapters, restores baseline-hot-ready, discards the child .avhdx disk, invokes Suspend-VM, and updates pool_state.json.</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