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 Architectural Decision Records (ADR)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with instruction pointers frozen (0.0% CPU). Rather than relying on the guest balloon driver to actively reclaim memory while its vCPUs are frozen (which is impossible when paused) or forcing host swap-paging (which violates the &lt;300ms resume SLA due to disk I/O page-ins), guest memory is aggressively trimmed and compacted prior to issuing Suspend-VM during pool replenishment and image baking. This locks each dormant instance into a lean static host RAM allocation (~1.0–1.2 GB).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Guaranteed deterministic sub-300ms wake times with 0.0% idle CPU overhead. Trade-off: Requires sizing host physical RAM to accommodate K_ready warm paused instances without triggering host-level memory overcommit swap.</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(baseline-hot-ready). All disk writes during the session are captured exclusively in the .avhdx layer and discarded upon session release. Persistent business data is stored exclusively in external enterprise datastores via an Internal Data Plane &amp; Egress Whitelist: public internet egress is strictly blocked (airgap default), while outbound traffic is permitted strictly to internal datastore subnets: TCP 1433 (SQL Server), TCP 5432 (PostgreSQL), and TCP 443 (Private S3/Blob storage endpoints).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guaranteed eradication of session residue, and secure persistence to external datastores without exposing internet access.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p>
      <w:pPr>
        <w:keepNext/>
        <w:spacing w:before="320" w:after="120"/>
      </w:pPr>
      <w:r>
        <w:rPr>
          <w:rFonts w:ascii="Calibri" w:hAnsi="Calibri"/>
          <w:b/>
          <w:color w:val="1F4E79"/>
          <w:sz w:val="30"/>
        </w:rPr>
        <w:t>ADR-006: Dynamic Watermark-Based Standby Pool Autoscaling &amp; Predictive Warm-Up</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While maintaining a single dormant instance in Paused RAM achieves sub-300ms wake-up for a single request, a burst of concurrent requests or high-volume batch processing for ADPA/SIDPA could exhaust the standby capacity. Production systems require elastic, proactive ready-state replenishment so multiple warm instances are immediately available whenever demand indicators surge.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an Adaptive Low/High Watermark Standby Pool Manager with tiered lifecycle states: (1) ColdProvisioned (0MB RAM, disk provisioned on NVMe), (2) StandbyPaused (pre-warmed, pre-trimmed, paused in RAM at ~1.0–1.2 GB, &lt;300ms wake), and (3) ActiveRunning. Low Watermark Kmin maintains ready instances; when an instance is leased, an async background worker promotes a ColdProvisioned VM in ~1.5s. High Watermark Kmax dynamically expands the buffer under surge velocity. Sibling VM PRNG entropy is re-seeded from hardware (RDRAND/BCryptGenRandom) on wake, and guest clock sync against host UTC time is asserted on resume before serving requests.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Seamless concurrency handling with zero queuing delay; zero cold boots; cryptographic security against PRNG entropy duplication; zero clock-skew authentication errors. Trade-off: Burst expansion momentarily consumes additional host RAM (~1.0–1.2 GB per paused instance), reclaimed back to disk upon idle cooldown.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AI-Driven Predictive Ingress Forecasting: Train an on-host lightweight time-series model (e.g., ARIMA or temporal transformer) analyzing historical request telemetry to automatically pre-warm pools 60 seconds ahead of anticipated demand cycles with zero manual scheduling.</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