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 Business Drivers &amp; Requirements (BDR)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expenditure by ensuring that when zero client requests are pending, virtual machine instances consume 0% CPU and maintain a compact host memory footprint.</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~1.0–1.2 GB lean static host memory footprint per paused instance achieved via working set pre-trimming prior to snapshot capture (preventing host swap-in disk I/O on resume);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of 350ms – 650ms (&lt;= 800ms SLA);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(350ms - 650ms nominal, &lt;= 800ms total TTFB SLA).</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traffic restricted to Ingress Gateway port forwarding (:8080) and strict enterprise datastore egress whitelist (SQL, PostgreSQL, S3 private endpoints); arbitrary public internet egress blocked.</w:t>
            </w:r>
          </w:p>
        </w:tc>
        <w:tc>
          <w:tcPr>
            <w:tcW w:type="dxa" w:w="2448"/>
            <w:shd w:fill="FFFFFF"/>
            <w:tcMar>
              <w:top w:w="80" w:type="dxa"/>
              <w:bottom w:w="80" w:type="dxa"/>
              <w:left w:w="120" w:type="dxa"/>
              <w:right w:w="120" w:type="dxa"/>
            </w:tcMar>
          </w:tcPr>
          <w:p>
            <w:pPr>
              <w:spacing w:before="0" w:after="0"/>
            </w:pPr>
            <w:r>
              <w:rPr>
                <w:rFonts w:ascii="Calibri" w:hAnsi="Calibri"/>
                <w:sz w:val="19"/>
              </w:rPr>
              <w:t>Network firewall rules strictly enforce isolation; no unauthorized internet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REQ-BDR-05</w:t>
            </w:r>
          </w:p>
        </w:tc>
        <w:tc>
          <w:tcPr>
            <w:tcW w:type="dxa" w:w="2448"/>
            <w:shd w:fill="FFFFFF"/>
            <w:tcMar>
              <w:top w:w="80" w:type="dxa"/>
              <w:bottom w:w="80" w:type="dxa"/>
              <w:left w:w="120" w:type="dxa"/>
              <w:right w:w="120" w:type="dxa"/>
            </w:tcMar>
          </w:tcPr>
          <w:p>
            <w:pPr>
              <w:spacing w:before="0" w:after="0"/>
            </w:pPr>
            <w:r>
              <w:rPr>
                <w:rFonts w:ascii="Calibri" w:hAnsi="Calibri"/>
                <w:sz w:val="19"/>
              </w:rPr>
              <w:t>Elasticity</w:t>
            </w:r>
          </w:p>
        </w:tc>
        <w:tc>
          <w:tcPr>
            <w:tcW w:type="dxa" w:w="2448"/>
            <w:shd w:fill="FFFFFF"/>
            <w:tcMar>
              <w:top w:w="80" w:type="dxa"/>
              <w:bottom w:w="80" w:type="dxa"/>
              <w:left w:w="120" w:type="dxa"/>
              <w:right w:w="120" w:type="dxa"/>
            </w:tcMar>
          </w:tcPr>
          <w:p>
            <w:pPr>
              <w:spacing w:before="0" w:after="0"/>
            </w:pPr>
            <w:r>
              <w:rPr>
                <w:rFonts w:ascii="Calibri" w:hAnsi="Calibri"/>
                <w:sz w:val="19"/>
              </w:rPr>
              <w:t>As soon as demand indicators surge or a standby instance is leased, the pool must automatically unpause/replenish ready instances up to Kmax.</w:t>
            </w:r>
          </w:p>
        </w:tc>
        <w:tc>
          <w:tcPr>
            <w:tcW w:type="dxa" w:w="2448"/>
            <w:shd w:fill="FFFFFF"/>
            <w:tcMar>
              <w:top w:w="80" w:type="dxa"/>
              <w:bottom w:w="80" w:type="dxa"/>
              <w:left w:w="120" w:type="dxa"/>
              <w:right w:w="120" w:type="dxa"/>
            </w:tcMar>
          </w:tcPr>
          <w:p>
            <w:pPr>
              <w:spacing w:before="0" w:after="0"/>
            </w:pPr>
            <w:r>
              <w:rPr>
                <w:rFonts w:ascii="Calibri" w:hAnsi="Calibri"/>
                <w:sz w:val="19"/>
              </w:rPr>
              <w:t>Verified standby pool depth auto-replenishment with zero queuing drops under concurrent load.</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