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F4E79"/>
          <w:sz w:val="44"/>
        </w:rPr>
        <w:t>Pillar II: Architectural Decision Records (ADR)</w:t>
      </w:r>
    </w:p>
    <w:p>
      <w:pPr>
        <w:spacing w:before="0" w:after="280"/>
      </w:pPr>
      <w:r>
        <w:rPr>
          <w:rFonts w:ascii="Calibri" w:hAnsi="Calibri"/>
          <w:color w:val="595959"/>
          <w:sz w:val="24"/>
        </w:rPr>
        <w:t>Just-in-Time (JIT) Scale-to-Zero Production Hyper-V Sandboxes (ADPA / SIDPA)</w:t>
      </w:r>
    </w:p>
    <w:p>
      <w:pPr>
        <w:keepNext/>
        <w:spacing w:before="320" w:after="120"/>
      </w:pPr>
      <w:r>
        <w:rPr>
          <w:rFonts w:ascii="Calibri" w:hAnsi="Calibri"/>
          <w:b/>
          <w:color w:val="1F4E79"/>
          <w:sz w:val="30"/>
        </w:rPr>
        <w:t>ADR-001: Selection of Type-1 Hyper-V Virtualization over Container Namespaces</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Enterprise automation workloads (ADPA and SIDPA) require running Windows-native services, COM+ dependencies, WMI, Windows Performance Counters, and Group Policy Objects (GPO) that are unsupported or unstable inside container namespaces. We evaluated Windows Server Containers vs. Hyper-V Generation 2 Type-1 Virtual Machines.</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Standardize on Type-1 Hyper-V Generation 2 Virtual Machines orchestrated by the native Rust control plane (wxc-exec --features hyperv). Hyper-V partitions utilize Intel VT-x / AMD-V and Second-Level Address Translation (SLAT), providing a verifiable hardware boundary and deterministic memory checkpointing.</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Total isolation, cryptographic immutability, full Windows Server API compatibility. Trade-off: Requires a Windows Pro, Enterprise, or Windows Server host with Hyper-V enabled.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Hyper-V Direct Micro-VM Partitions: Explore integration with stripped-down Hyper-V micro-VM profiles and custom minimal Windows Server Core footprints to reduce baseline memory commitment per suspended instance from 1GB down to &lt;256MB.</w:t>
            </w:r>
          </w:p>
        </w:tc>
      </w:tr>
    </w:tbl>
    <w:p>
      <w:pPr>
        <w:spacing w:after="120"/>
      </w:pPr>
    </w:p>
    <w:p>
      <w:pPr>
        <w:keepNext/>
        <w:spacing w:before="320" w:after="120"/>
      </w:pPr>
      <w:r>
        <w:rPr>
          <w:rFonts w:ascii="Calibri" w:hAnsi="Calibri"/>
          <w:b/>
          <w:color w:val="1F4E79"/>
          <w:sz w:val="30"/>
        </w:rPr>
        <w:t>ADR-002: Just-in-Time (JIT) Connection-Buffering Ingress Gateway</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End users and upstream webhooks send standard HTTPS requests to public endpoints (e.g., https://adpa.internal.company.com/api/v1/process). When the backend VM is dormant (Paused), the socket is closed or unreachable.</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Deploy an intelligent Connection-Buffering Ingress Reverse Proxy (YARP / Envoy / FastMCP Gateway) in front of the VM cluster. The proxy terminates TLS, checks target VM state, holds the client request buffer open if dormant, dispatches a synchronous wake signal (pool_lease / resume) to MXC (&lt;300ms), performs a TCP loopback handshake against guest port :8080 (~50ms), and flushes the held request.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Clients experience zero connection drops, resets, or 502/504 errors. Standard REST and browser clients work seamlessly without custom wake-up SDKs.</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WebSocket &amp; SSE Suspension Multiplexing: Upgrade the JIT Ingress Proxy to support long-lived WebSocket and Server-Sent Events (SSE) connection suspension, enabling real-time UI progress streams and transparent session resumption across mid-conversation idle pauses.</w:t>
            </w:r>
          </w:p>
        </w:tc>
      </w:tr>
    </w:tbl>
    <w:p>
      <w:pPr>
        <w:spacing w:after="120"/>
      </w:pPr>
    </w:p>
    <w:p>
      <w:pPr>
        <w:keepNext/>
        <w:spacing w:before="320" w:after="120"/>
      </w:pPr>
      <w:r>
        <w:rPr>
          <w:rFonts w:ascii="Calibri" w:hAnsi="Calibri"/>
          <w:b/>
          <w:color w:val="1F4E79"/>
          <w:sz w:val="30"/>
        </w:rPr>
        <w:t>ADR-003: Dedicated Production Base Image Separation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The developer golden image (winserv2025-golden.vhdx) includes compilation toolchains (Rust MSVC, Node.js, .NET SDK, Scoop, uv, Playwright, compilers, source repositories). Production deployments require minimized attack surfaces and zero unauthorized tooling.</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Maintain a separate, hardened Production Base Image (winserv2025-prod-adpa.vhdx) distinct from the development image. It uses a minimal Windows Server 2025 footprint, pre-bakes ADPA/SIDPA as pre-jitted auto-starting Windows Services under least-privilege local service accounts, excludes all compilers/package managers (Scoop, cargo, git), and runs smoke-test requests during baking to pre-warm memory caches before capturing the golden checkpoint.</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Drastically reduced attack surface, CIS benchmark compliance, and zero JIT compilation latency on wake.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Automated Supply-Chain Attestation (SBOM &amp; Cosign): Integrate automated vulnerability scanning (Trivy), Software Bill of Materials (SBOM) generation, and cryptographic VHDX image signing (Cosign) directly into the CI/CD image baking pipeline so the Hyper-V host verifies image signatures prior to pool registration.</w:t>
            </w:r>
          </w:p>
        </w:tc>
      </w:tr>
    </w:tbl>
    <w:p>
      <w:pPr>
        <w:spacing w:after="120"/>
      </w:pPr>
    </w:p>
    <w:p>
      <w:pPr>
        <w:keepNext/>
        <w:spacing w:before="320" w:after="120"/>
      </w:pPr>
      <w:r>
        <w:rPr>
          <w:rFonts w:ascii="Calibri" w:hAnsi="Calibri"/>
          <w:b/>
          <w:color w:val="1F4E79"/>
          <w:sz w:val="30"/>
        </w:rPr>
        <w:t>ADR-004: Memory-Preserved Standby (Paused Hypervisor RAM State)</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Cold-booting Windows Server takes 25–45 seconds. Pausing an active VM keeps guest physical memory intact in host RAM, freezing the virtual CPU instruction pointer.</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Implement the warm pool state as Hyper-V Paused Instances. When dormant, VMs remain in Hyper-V Paused state; the host hypervisor stops scheduling vCPU execution ticks (0.0% CPU usage); Dynamic Memory trims and pages unneeded working set memory; resuming via Resume-VM executes in &lt;300ms.</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Sub-300ms wake times with 0.0% idle CPU overhead.</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Two-Tier Hibernation Hierarchy (RAM Pause vs. NVMe Save-VM): Introduce a tiered standby hierarchy where hot-queue instances (N=2) remain in Paused RAM state (&lt;300ms wake), while deep-standby instances (N=10) are placed in Saved NVMe state (0MB host RAM, ~1.5s wake) and promoted into RAM dynamically as active leases increase.</w:t>
            </w:r>
          </w:p>
        </w:tc>
      </w:tr>
    </w:tbl>
    <w:p>
      <w:pPr>
        <w:spacing w:after="120"/>
      </w:pPr>
    </w:p>
    <w:p>
      <w:pPr>
        <w:keepNext/>
        <w:spacing w:before="320" w:after="120"/>
      </w:pPr>
      <w:r>
        <w:rPr>
          <w:rFonts w:ascii="Calibri" w:hAnsi="Calibri"/>
          <w:b/>
          <w:color w:val="1F4E79"/>
          <w:sz w:val="30"/>
        </w:rPr>
        <w:t>ADR-005: Automated Checkpoint Differencing Disks for Stateless Execution</w:t>
      </w:r>
    </w:p>
    <w:p>
      <w:pPr>
        <w:spacing w:before="0" w:after="120" w:line="276" w:lineRule="auto"/>
      </w:pPr>
      <w:r>
        <w:rPr>
          <w:rFonts w:ascii="Calibri" w:hAnsi="Calibri"/>
          <w:b/>
          <w:color w:val="282828"/>
          <w:sz w:val="21"/>
        </w:rPr>
        <w:t xml:space="preserve">Metadata: </w:t>
      </w:r>
      <w:r>
        <w:rPr>
          <w:rFonts w:ascii="Calibri" w:hAnsi="Calibri"/>
          <w:color w:val="333333"/>
          <w:sz w:val="21"/>
        </w:rPr>
        <w:t>Accepted | Date: October 2026 | Deciders: Systems Architecture Team</w:t>
      </w:r>
    </w:p>
    <w:p>
      <w:pPr>
        <w:spacing w:before="0" w:after="120" w:line="276" w:lineRule="auto"/>
      </w:pPr>
      <w:r>
        <w:rPr>
          <w:rFonts w:ascii="Calibri" w:hAnsi="Calibri"/>
          <w:b/>
          <w:color w:val="282828"/>
          <w:sz w:val="21"/>
        </w:rPr>
        <w:t xml:space="preserve">Context: </w:t>
      </w:r>
      <w:r>
        <w:rPr>
          <w:rFonts w:ascii="Calibri" w:hAnsi="Calibri"/>
          <w:color w:val="333333"/>
          <w:sz w:val="21"/>
        </w:rPr>
        <w:t>If production services write temporary files, logs, or registry entries during an end-user session, those modifications could accumulate over time, leading to disk bloat, performance degradation, or security cross-contamination.</w:t>
      </w:r>
    </w:p>
    <w:p>
      <w:pPr>
        <w:spacing w:before="0" w:after="120" w:line="276" w:lineRule="auto"/>
      </w:pPr>
      <w:r>
        <w:rPr>
          <w:rFonts w:ascii="Calibri" w:hAnsi="Calibri"/>
          <w:b/>
          <w:color w:val="282828"/>
          <w:sz w:val="21"/>
        </w:rPr>
        <w:t xml:space="preserve">Decision &amp; Mechanism: </w:t>
      </w:r>
      <w:r>
        <w:rPr>
          <w:rFonts w:ascii="Calibri" w:hAnsi="Calibri"/>
          <w:color w:val="333333"/>
          <w:sz w:val="21"/>
        </w:rPr>
        <w:t>Execute all production sessions against a transient differencing disk (.avhdx) anchored to the clean production baseline. Upon session release or inactivity timeout, the differencing disk is discarded and the VM is reverted to the immutable baseline snapshot. Persistent business data is stored exclusively in external enterprise datastores (SQL Server, PostgreSQL, S3/Blob storage), guaranteeing 100% ephemeral compute.</w:t>
      </w:r>
    </w:p>
    <w:p>
      <w:pPr>
        <w:spacing w:before="0" w:after="120" w:line="276" w:lineRule="auto"/>
      </w:pPr>
      <w:r>
        <w:rPr>
          <w:rFonts w:ascii="Calibri" w:hAnsi="Calibri"/>
          <w:b/>
          <w:color w:val="282828"/>
          <w:sz w:val="21"/>
        </w:rPr>
        <w:t xml:space="preserve">Consequences: </w:t>
      </w:r>
      <w:r>
        <w:rPr>
          <w:rFonts w:ascii="Calibri" w:hAnsi="Calibri"/>
          <w:color w:val="333333"/>
          <w:sz w:val="21"/>
        </w:rPr>
        <w:t>Positive: Zero post-session state drift and guaranteed eradication of any session residue.</w:t>
      </w:r>
    </w:p>
    <w:tbl>
      <w:tblPr>
        <w:tblW w:type="auto" w:w="0"/>
        <w:jc w:val="center"/>
        <w:tblLook w:firstColumn="1" w:firstRow="1" w:lastColumn="0" w:lastRow="0" w:noHBand="0" w:noVBand="1" w:val="04A0"/>
      </w:tblPr>
      <w:tblGrid>
        <w:gridCol w:w="9792"/>
      </w:tblGrid>
      <w:tr>
        <w:tc>
          <w:tcPr>
            <w:tcW w:type="dxa" w:w="9792"/>
            <w:shd w:fill="F2F4F7"/>
            <w:tcMar>
              <w:top w:w="120" w:type="dxa"/>
              <w:bottom w:w="120" w:type="dxa"/>
              <w:left w:w="180" w:type="dxa"/>
              <w:right w:w="180" w:type="dxa"/>
            </w:tcMar>
            <w:tcBorders>
              <w:left w:val="single" w:sz="24" w:space="0" w:color="1F4E79"/>
              <w:top w:val="none"/>
              <w:right w:val="none"/>
              <w:bottom w:val="none"/>
            </w:tcBorders>
          </w:tcPr>
          <w:p>
            <w:pPr>
              <w:spacing w:before="40" w:after="40" w:line="276" w:lineRule="auto"/>
            </w:pPr>
            <w:r>
              <w:rPr>
                <w:rFonts w:ascii="Calibri" w:hAnsi="Calibri"/>
                <w:b/>
                <w:color w:val="1F4E79"/>
                <w:sz w:val="20"/>
              </w:rPr>
              <w:t>FUTURE HORIZON &amp; SCALING ENHANCEMENT:</w:t>
              <w:br/>
            </w:r>
            <w:r>
              <w:rPr>
                <w:rFonts w:ascii="Calibri" w:hAnsi="Calibri"/>
                <w:i/>
                <w:color w:val="464646"/>
                <w:sz w:val="20"/>
              </w:rPr>
              <w:t>WORM Memory-Backed Ephemeral Scratch Disks: Transition high-throughput temporary scratch I/O from file-backed .avhdx delta layers to Write-Once-Read-Many (WORM) host RAM-disks attached via VMBus SCSI, achieving near-zero I/O latency and instantaneous physical memory zeroing upon release.</w:t>
            </w:r>
          </w:p>
        </w:tc>
      </w:tr>
    </w:tbl>
    <w:p>
      <w:pPr>
        <w:spacing w:after="120"/>
      </w:pP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