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Pillar II: Architectural Decision Records (ADR)</w:t>
      </w:r>
    </w:p>
    <w:p>
      <w:pPr>
        <w:spacing w:before="0" w:after="280"/>
      </w:pPr>
      <w:r>
        <w:rPr>
          <w:rFonts w:ascii="Calibri" w:hAnsi="Calibri"/>
          <w:color w:val="595959"/>
          <w:sz w:val="24"/>
        </w:rPr>
        <w:t>Just-in-Time (JIT) Scale-to-Zero Production Hyper-V Sandboxes (ADPA / SIDPA)</w:t>
      </w:r>
    </w:p>
    <w:p>
      <w:pPr>
        <w:keepNext/>
        <w:spacing w:before="320" w:after="120"/>
      </w:pPr>
      <w:r>
        <w:rPr>
          <w:rFonts w:ascii="Calibri" w:hAnsi="Calibri"/>
          <w:b/>
          <w:color w:val="1F4E79"/>
          <w:sz w:val="30"/>
        </w:rPr>
        <w:t>ADR-001: Selection of Type-1 Hyper-V Virtualization over Container Namespaces</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Enterprise automation workloads (ADPA and SIDPA) require running Windows-native services, COM+ dependencies, WMI, Windows Performance Counters, and Group Policy Objects (GPO) that are unsupported or unstable inside container namespaces. We evaluated Windows Server Containers vs. Hyper-V Generation 2 Type-1 Virtual Machines.</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Standardize on Type-1 Hyper-V Generation 2 Virtual Machines orchestrated by the native Rust control plane (wxc-exec --features hyperv). Hyper-V partitions utilize Intel VT-x / AMD-V and Second-Level Address Translation (SLAT), providing a verifiable hardware boundary and deterministic memory checkpointing.</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Total isolation, cryptographic immutability, full Windows Server API compatibility. Trade-off: Requires a Windows Pro, Enterprise, or Windows Server host with Hyper-V enabled.</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Hyper-V Direct Micro-VM Partitions: Explore integration with stripped-down Hyper-V micro-VM profiles and custom minimal Windows Server Core footprints to reduce baseline memory commitment per suspended instance from 1GB down to &lt;256MB.</w:t>
            </w:r>
          </w:p>
        </w:tc>
      </w:tr>
    </w:tbl>
    <w:p>
      <w:pPr>
        <w:spacing w:after="120"/>
      </w:pPr>
    </w:p>
    <w:p>
      <w:pPr>
        <w:keepNext/>
        <w:spacing w:before="320" w:after="120"/>
      </w:pPr>
      <w:r>
        <w:rPr>
          <w:rFonts w:ascii="Calibri" w:hAnsi="Calibri"/>
          <w:b/>
          <w:color w:val="1F4E79"/>
          <w:sz w:val="30"/>
        </w:rPr>
        <w:t>ADR-002: Just-in-Time (JIT) Connection-Buffering Ingress Gateway</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End users and upstream webhooks send standard HTTPS requests to public endpoints (e.g., https://adpa.internal.company.com/api/v1/process). When the backend VM is dormant (Paused), the socket is closed or unreachable.</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Deploy an intelligent Connection-Buffering Ingress Reverse Proxy (YARP / Envoy / FastMCP Gateway) in front of the VM cluster. The proxy terminates TLS, checks target VM state, holds the client request buffer open if dormant, dispatches a synchronous wake signal (pool_lease / resume) to MXC (&lt;300ms), performs a TCP loopback handshake against guest port :8080 (~50ms), and flushes the held request.</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Clients experience zero connection drops, resets, or 502/504 errors. Standard REST and browser clients work seamlessly without custom wake-up SDKs.</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WebSocket &amp; SSE Suspension Multiplexing: Upgrade the JIT Ingress Proxy to support long-lived WebSocket and Server-Sent Events (SSE) connection suspension, enabling real-time UI progress streams and transparent session resumption across mid-conversation idle pauses.</w:t>
            </w:r>
          </w:p>
        </w:tc>
      </w:tr>
    </w:tbl>
    <w:p>
      <w:pPr>
        <w:spacing w:after="120"/>
      </w:pPr>
    </w:p>
    <w:p>
      <w:pPr>
        <w:keepNext/>
        <w:spacing w:before="320" w:after="120"/>
      </w:pPr>
      <w:r>
        <w:rPr>
          <w:rFonts w:ascii="Calibri" w:hAnsi="Calibri"/>
          <w:b/>
          <w:color w:val="1F4E79"/>
          <w:sz w:val="30"/>
        </w:rPr>
        <w:t>ADR-003: Dedicated Production Base Image Separation</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The developer golden image (winserv2025-golden.vhdx) includes compilation toolchains (Rust MSVC, Node.js, .NET SDK, Scoop, uv, Playwright, compilers, source repositories). Production deployments require minimized attack surfaces and zero unauthorized tooling.</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Maintain a separate, hardened Production Base Image (winserv2025-prod-adpa.vhdx) distinct from the development image. It uses a minimal Windows Server 2025 footprint, pre-bakes ADPA/SIDPA as pre-jitted auto-starting Windows Services under least-privilege local service accounts, excludes all compilers/package managers (Scoop, cargo, git), and runs smoke-test requests during baking to pre-warm memory caches before capturing the golden checkpoint.</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Drastically reduced attack surface, CIS benchmark compliance, and zero JIT compilation latency on wake.</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Automated Supply-Chain Attestation (SBOM &amp; Cosign): Integrate automated vulnerability scanning (Trivy), Software Bill of Materials (SBOM) generation, and cryptographic VHDX image signing (Cosign) directly into the CI/CD image baking pipeline so the Hyper-V host verifies image signatures prior to pool registration.</w:t>
            </w:r>
          </w:p>
        </w:tc>
      </w:tr>
    </w:tbl>
    <w:p>
      <w:pPr>
        <w:spacing w:after="120"/>
      </w:pPr>
    </w:p>
    <w:p>
      <w:pPr>
        <w:keepNext/>
        <w:spacing w:before="320" w:after="120"/>
      </w:pPr>
      <w:r>
        <w:rPr>
          <w:rFonts w:ascii="Calibri" w:hAnsi="Calibri"/>
          <w:b/>
          <w:color w:val="1F4E79"/>
          <w:sz w:val="30"/>
        </w:rPr>
        <w:t>ADR-004: Memory-Preserved Standby (Paused Hypervisor RAM State)</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Cold-booting Windows Server takes 25–45 seconds. Pausing an active VM keeps guest physical memory intact in host RAM, freezing the virtual CPU instruction pointer.</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Implement the warm pool state as Hyper-V Paused Instances. When dormant, VMs remain in Hyper-V Paused state with instruction pointers frozen (0.0% CPU). Rather than relying on the guest balloon driver to actively reclaim memory while its vCPUs are frozen (which is impossible when paused) or forcing host swap-paging (which violates the &lt;300ms resume SLA due to disk I/O page-ins), guest memory is aggressively trimmed and compacted prior to issuing Suspend-VM during pool replenishment and image baking. This locks each dormant instance into a lean static host RAM allocation (~1.0–1.2 GB). Resuming via Resume-VM executes in &lt;300ms.</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Guaranteed deterministic sub-300ms wake times with 0.0% idle CPU overhead. Trade-off: Requires sizing host physical RAM to accommodate K_ready warm paused instances without triggering host-level memory overcommit swap.</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Two-Tier Hibernation Hierarchy (RAM Pause vs. NVMe Save-VM): Introduce a tiered standby hierarchy where hot-queue instances (N=2) remain in Paused RAM state (&lt;300ms wake), while deep-standby instances (N=10) are placed in Saved NVMe state (0MB host RAM, ~1.5s wake) and promoted into RAM dynamically as active leases increase.</w:t>
            </w:r>
          </w:p>
        </w:tc>
      </w:tr>
    </w:tbl>
    <w:p>
      <w:pPr>
        <w:spacing w:after="120"/>
      </w:pPr>
    </w:p>
    <w:p>
      <w:pPr>
        <w:keepNext/>
        <w:spacing w:before="320" w:after="120"/>
      </w:pPr>
      <w:r>
        <w:rPr>
          <w:rFonts w:ascii="Calibri" w:hAnsi="Calibri"/>
          <w:b/>
          <w:color w:val="1F4E79"/>
          <w:sz w:val="30"/>
        </w:rPr>
        <w:t>ADR-005: Automated Checkpoint Differencing Disks for Stateless Execution</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If production services write temporary files, logs, or registry entries during an end-user session, those modifications could accumulate over time, leading to disk bloat, performance degradation, or security cross-contamination.</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Execute all production sessions against a transient differencing disk (.avhdx) anchored to the clean production baseline (baseline-hot-ready). All disk writes during the session are captured exclusively in the .avhdx layer and discarded upon session release. Persistent business data is stored exclusively in external enterprise datastores via an Internal Data Plane &amp; Egress Whitelist: public internet egress is strictly blocked (airgap default), while outbound traffic is permitted strictly to internal datastore subnets (TCP 1433 for SQL Server, TCP 5432 for PostgreSQL, TCP 443 for Private S3/Blob storage) and directory services (UDP/TCP 53 for Internal DNS, UDP/TCP 88 for Active Directory Kerberos).</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Zero post-session state drift, guaranteed eradication of session residue, and secure persistence to external datastores without exposing internet access.</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WORM Memory-Backed Ephemeral Scratch Disks: Transition high-throughput temporary scratch I/O from file-backed .avhdx delta layers to Write-Once-Read-Many (WORM) host RAM-disks attached via VMBus SCSI, achieving near-zero I/O latency and instantaneous physical memory zeroing upon release.</w:t>
            </w:r>
          </w:p>
        </w:tc>
      </w:tr>
    </w:tbl>
    <w:p>
      <w:pPr>
        <w:spacing w:after="120"/>
      </w:pPr>
    </w:p>
    <w:p>
      <w:pPr>
        <w:keepNext/>
        <w:spacing w:before="320" w:after="120"/>
      </w:pPr>
      <w:r>
        <w:rPr>
          <w:rFonts w:ascii="Calibri" w:hAnsi="Calibri"/>
          <w:b/>
          <w:color w:val="1F4E79"/>
          <w:sz w:val="30"/>
        </w:rPr>
        <w:t>ADR-006: Dynamic Watermark-Based Standby Pool Autoscaling &amp; Predictive Warm-Up</w:t>
      </w:r>
    </w:p>
    <w:p>
      <w:pPr>
        <w:spacing w:before="0" w:after="120" w:line="276" w:lineRule="auto"/>
      </w:pPr>
      <w:r>
        <w:rPr>
          <w:rFonts w:ascii="Calibri" w:hAnsi="Calibri"/>
          <w:b/>
          <w:color w:val="282828"/>
          <w:sz w:val="21"/>
        </w:rPr>
        <w:t xml:space="preserve">Metadata: </w:t>
      </w:r>
      <w:r>
        <w:rPr>
          <w:rFonts w:ascii="Calibri" w:hAnsi="Calibri"/>
          <w:color w:val="333333"/>
          <w:sz w:val="21"/>
        </w:rPr>
        <w:t>Accepted | Date: October 2026 | Deciders: Systems Architecture Team</w:t>
      </w:r>
    </w:p>
    <w:p>
      <w:pPr>
        <w:spacing w:before="0" w:after="120" w:line="276" w:lineRule="auto"/>
      </w:pPr>
      <w:r>
        <w:rPr>
          <w:rFonts w:ascii="Calibri" w:hAnsi="Calibri"/>
          <w:b/>
          <w:color w:val="282828"/>
          <w:sz w:val="21"/>
        </w:rPr>
        <w:t xml:space="preserve">Context: </w:t>
      </w:r>
      <w:r>
        <w:rPr>
          <w:rFonts w:ascii="Calibri" w:hAnsi="Calibri"/>
          <w:color w:val="333333"/>
          <w:sz w:val="21"/>
        </w:rPr>
        <w:t>While maintaining a single dormant instance in Paused RAM achieves sub-300ms wake-up for a single request, a burst of concurrent requests or high-volume batch processing for ADPA/SIDPA could exhaust the standby capacity. Production systems require elastic, proactive ready-state replenishment so multiple warm instances are immediately available whenever demand indicators surge.</w:t>
      </w:r>
    </w:p>
    <w:p>
      <w:pPr>
        <w:spacing w:before="0" w:after="120" w:line="276" w:lineRule="auto"/>
      </w:pPr>
      <w:r>
        <w:rPr>
          <w:rFonts w:ascii="Calibri" w:hAnsi="Calibri"/>
          <w:b/>
          <w:color w:val="282828"/>
          <w:sz w:val="21"/>
        </w:rPr>
        <w:t xml:space="preserve">Decision &amp; Mechanism: </w:t>
      </w:r>
      <w:r>
        <w:rPr>
          <w:rFonts w:ascii="Calibri" w:hAnsi="Calibri"/>
          <w:color w:val="333333"/>
          <w:sz w:val="21"/>
        </w:rPr>
        <w:t>Implement an Adaptive Low/High Watermark Standby Pool Manager with tiered lifecycle states: (1) ColdProvisioned (0MB RAM, disk provisioned on NVMe), (2) StandbyPaused (pre-warmed, pre-trimmed, paused in RAM at ~1.0–1.2 GB, &lt;300ms wake), and (3) ActiveRunning. Low Watermark Kmin maintains ready instances; when an instance is leased, an async background worker promotes a ColdProvisioned VM in ~1.5s. High Watermark Kmax dynamically expands the buffer under surge velocity. Sibling VM PRNG entropy is re-seeded from hardware (RDRAND/BCryptGenRandom) on wake, stale database connection pools are cleared (ClearAllPools()), and guest clock sync against host UTC time is asserted on resume before serving requests.</w:t>
      </w:r>
    </w:p>
    <w:p>
      <w:pPr>
        <w:spacing w:before="0" w:after="120" w:line="276" w:lineRule="auto"/>
      </w:pPr>
      <w:r>
        <w:rPr>
          <w:rFonts w:ascii="Calibri" w:hAnsi="Calibri"/>
          <w:b/>
          <w:color w:val="282828"/>
          <w:sz w:val="21"/>
        </w:rPr>
        <w:t xml:space="preserve">Consequences: </w:t>
      </w:r>
      <w:r>
        <w:rPr>
          <w:rFonts w:ascii="Calibri" w:hAnsi="Calibri"/>
          <w:color w:val="333333"/>
          <w:sz w:val="21"/>
        </w:rPr>
        <w:t>Positive: Seamless concurrency handling with zero queuing delay; zero cold boots; cryptographic security against PRNG entropy duplication; zero clock-skew authentication errors. Trade-off: Burst expansion momentarily consumes additional host RAM (~1.0–1.2 GB per paused instance), reclaimed back to disk upon idle cooldown.</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AI-Driven Predictive Ingress Forecasting: Train an on-host lightweight time-series model (e.g., ARIMA or temporal transformer) analyzing historical request telemetry to automatically pre-warm pools 60 seconds ahead of anticipated demand cycles with zero manual scheduling.</w:t>
            </w:r>
          </w:p>
        </w:tc>
      </w:tr>
    </w:tbl>
    <w:p>
      <w:pPr>
        <w:spacing w:after="12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