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III: Functional Design Document (FDD)</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Health Poller, Session Tracker), (2) The MXC Hardware Lifecycle Controller (Warm Pool Manager, Inactivity Reaper, Differencing Disk Discard), and (3) The Guest Production Appliance (ADPA/SIDPA Windows Service, Health Probe :8080/health, Isolated Virtual NIC,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and resetting session inactivity timers on each packet.</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StandbyPaused: Cold Bake &amp; Freeze</w:t>
              <w:br/>
              <w:t xml:space="preserve">    StandbyPaused --&gt; ActiveRunning: Client Request (pool_lease &lt;300ms)</w:t>
              <w:br/>
              <w:t xml:space="preserve">    ActiveRunning --&gt; ActiveRunning: Inbound HTTP Traffic</w:t>
              <w:br/>
              <w:t xml:space="preserve">    ActiveRunning --&gt; ReapingState: Idle Timeout (300s no traffic)</w:t>
              <w:br/>
              <w:t xml:space="preserve">    ReapingState --&gt; RestoreBaseline: Discard .avhdx Delta</w:t>
              <w:br/>
              <w:t xml:space="preserve">    RestoreBaseline --&gt; StandbyPaused: Suspend-VM (CPU: 0%)</w:t>
              <w:br/>
              <w:t xml:space="preserve">    ActiveRunning --&gt; Maintenance: Manual Admin Lock</w:t>
              <w:br/>
              <w:t xml:space="preserve">    Maintenance --&gt; StandbyPaused: Admin Unlock</w:t>
            </w:r>
          </w:p>
        </w:tc>
      </w:tr>
    </w:tbl>
    <w:p>
      <w:pPr>
        <w:spacing w:after="80"/>
      </w:pPr>
    </w:p>
    <w:p>
      <w:pPr>
        <w:spacing w:before="0" w:after="120" w:line="276" w:lineRule="auto"/>
      </w:pPr>
      <w:r>
        <w:rPr>
          <w:rFonts w:ascii="Calibri" w:hAnsi="Calibri"/>
          <w:b/>
          <w:color w:val="282828"/>
          <w:sz w:val="21"/>
        </w:rPr>
        <w:t xml:space="preserve">• Elastic Standby Replenishment &amp; Autoscaler: </w:t>
      </w:r>
      <w:r>
        <w:rPr>
          <w:rFonts w:ascii="Calibri" w:hAnsi="Calibri"/>
          <w:color w:val="333333"/>
          <w:sz w:val="21"/>
        </w:rPr>
        <w:t>Low Watermark Enforcement (Kmin &gt;= 1): The controller maintains ready-state standby instances. When an instance is leased, an async background worker immediately unpauses/promotes the next standby VM. High Watermark Surge Autoscaling (Kmax up to 5-10): Velocity and queue triggers dynamically expand the buffer to absorb burst traffic with zero cold boots.</w:t>
      </w:r>
    </w:p>
    <w:p>
      <w:pPr>
        <w:spacing w:before="120" w:after="40"/>
      </w:pPr>
      <w:r>
        <w:rPr>
          <w:rFonts w:ascii="Calibri" w:hAnsi="Calibri"/>
          <w:b/>
          <w:color w:val="595959"/>
          <w:sz w:val="19"/>
        </w:rPr>
        <w:t>Pool Configuration Schema (pool_config.json):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"pool_id": "prod-adpa",</w:t>
              <w:br/>
              <w:t xml:space="preserve">  "min_ready_standby": 1,</w:t>
              <w:br/>
              <w:t xml:space="preserve">  "max_ready_standby": 5,</w:t>
              <w:br/>
              <w:t xml:space="preserve">  "surge_velocity_threshold_rps": 10,</w:t>
              <w:br/>
              <w:t xml:space="preserve">  "queue_depth_trigger": 1,</w:t>
              <w:br/>
              <w:t xml:space="preserve">  "idle_timeout_seconds": 300,</w:t>
              <w:br/>
              <w:t xml:space="preserve">  "reaping_cooldown_seconds": 180,</w:t>
              <w:br/>
              <w:t xml:space="preserve">  "pre_warm_schedule": [</w:t>
              <w:br/>
              <w:t xml:space="preserve">    { "cron": "0 8 * * 1-5", "target_ready": 4, "duration_minutes": 60 }</w:t>
              <w:br/>
              <w:t xml:space="preserve">  ]</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returns {"status": "healthy", "service": "ADPA", "uptime_ms": 1240} in &lt;5ms. Assemblies are pre-compiled (Native AOT / NGen) with working set memory warmed prior to capturing baseline-hot-ready. Windows Firewall blocks all inbound traffic except port 8080 from the internal virtual switch and blocks all outbound internet egress.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br/>
              <w:t xml:space="preserve">    Note over HyperV,Guest: State: Paused (0% CPU, Memory Baseline)</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Probe (Up to 1000ms, typically 50ms)</w:t>
              <w:br/>
              <w:t xml:space="preserve">        Proxy-&gt;&gt;Guest: GET http://172.24.100.5:8080/health</w:t>
              <w:br/>
              <w:t xml:space="preserve">        Guest--&gt;&gt;Proxy: HTTP 200 {"status": "healthy"}</w:t>
              <w:br/>
              <w:t xml:space="preserve">    end</w:t>
              <w:br/>
              <w:t xml:space="preserve">    Proxy-&gt;&gt;Guest: Forward buffered POST /api/v1/adpa/process</w:t>
              <w:br/>
              <w:t xml:space="preserve">    Guest--&gt;&gt;Proxy: HTTP 200 {"result": "success", "txId": "9482"}</w:t>
              <w:br/>
              <w:t xml:space="preserve">    Proxy--&gt;&gt;Client: HTTP 200 {"result": "success", "txId": "9482"}</w:t>
              <w:br/>
              <w:t xml:space="preserve">    Note over Proxy: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elapsed time since the last packet exceeds idle_timeout_seconds (default: 300s), the Ingress Proxy issues pool_release("hv:prod-adpa-01"). MXC disconnects the network adapter, restores the VM to checkpoint baseline-hot-ready, deletes the child .avhdx differencing disk, invokes Suspend-VM, and marks the instance ready in the pool registry.</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