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curement-management-plan"/>
    <w:p>
      <w:pPr>
        <w:pStyle w:val="Heading1"/>
      </w:pPr>
      <w:r>
        <w:t xml:space="preserve">Procurement Management Plan</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2025-06-10T08:15:57.789Z</w:t>
      </w:r>
      <w:r>
        <w:br/>
      </w:r>
      <w:r>
        <w:rPr>
          <w:b/>
          <w:bCs/>
        </w:rPr>
        <w:t xml:space="preserve">Description:</w:t>
      </w:r>
      <w:r>
        <w:t xml:space="preserve"> </w:t>
      </w:r>
      <w:r>
        <w:t xml:space="preserve">PMBOK Procurement Management Plan</w:t>
      </w:r>
    </w:p>
    <w:p>
      <w:r>
        <w:pict>
          <v:rect style="width:0;height:1.5pt" o:hralign="center" o:hrstd="t" o:hr="t"/>
        </w:pict>
      </w:r>
    </w:p>
    <w:bookmarkEnd w:id="9"/>
    <w:bookmarkStart w:id="10" w:name="Xda0151226fb999985e420a9aaa77bea1535b249"/>
    <w:p>
      <w:pPr>
        <w:pStyle w:val="Heading1"/>
      </w:pPr>
      <w:r>
        <w:t xml:space="preserve">Procurement Management Plan: Requirements Gathering Agent Project</w:t>
      </w:r>
    </w:p>
    <w:p>
      <w:pPr>
        <w:pStyle w:val="FirstParagraph"/>
      </w:pPr>
      <w:r>
        <w:rPr>
          <w:b/>
          <w:bCs/>
        </w:rPr>
        <w:t xml:space="preserve">1. Introduction and Purpose</w:t>
      </w:r>
    </w:p>
    <w:p>
      <w:pPr>
        <w:pStyle w:val="BodyText"/>
      </w:pPr>
      <w:r>
        <w:t xml:space="preserve">This Procurement Management Plan outlines the processes and procedures for acquiring goods and services required for the successful completion of the Requirements Gathering Agent project. The plan ensures that procurements are conducted efficiently, cost-effectively, and in compliance with organizational policies and regulatory requirements. The primary procurement need is for access to a large language model (LLM) API for generating project documentation. Secondary procurements may include specialized software licenses or consulting services if needed.</w:t>
      </w:r>
    </w:p>
    <w:p>
      <w:pPr>
        <w:pStyle w:val="BodyText"/>
      </w:pPr>
      <w:r>
        <w:rPr>
          <w:b/>
          <w:bCs/>
        </w:rPr>
        <w:t xml:space="preserve">2. Procurement Authority and Roles</w:t>
      </w:r>
    </w:p>
    <w:p>
      <w:pPr>
        <w:pStyle w:val="Compact"/>
        <w:numPr>
          <w:ilvl w:val="0"/>
          <w:numId w:val="1001"/>
        </w:numPr>
      </w:pPr>
      <w:r>
        <w:rPr>
          <w:b/>
          <w:bCs/>
        </w:rPr>
        <w:t xml:space="preserve">Procurement Manager:</w:t>
      </w:r>
      <w:r>
        <w:t xml:space="preserve"> </w:t>
      </w:r>
      <w:r>
        <w:t xml:space="preserve">[Name/Title] – Responsible for overall procurement planning, execution, and closure.</w:t>
      </w:r>
    </w:p>
    <w:p>
      <w:pPr>
        <w:pStyle w:val="Compact"/>
        <w:numPr>
          <w:ilvl w:val="0"/>
          <w:numId w:val="1001"/>
        </w:numPr>
      </w:pPr>
      <w:r>
        <w:rPr>
          <w:b/>
          <w:bCs/>
        </w:rPr>
        <w:t xml:space="preserve">Project Manager:</w:t>
      </w:r>
      <w:r>
        <w:t xml:space="preserve"> </w:t>
      </w:r>
      <w:r>
        <w:t xml:space="preserve">[Name/Title] – Provides project requirements and approves procurement requests.</w:t>
      </w:r>
    </w:p>
    <w:p>
      <w:pPr>
        <w:pStyle w:val="Compact"/>
        <w:numPr>
          <w:ilvl w:val="0"/>
          <w:numId w:val="1001"/>
        </w:numPr>
      </w:pPr>
      <w:r>
        <w:rPr>
          <w:b/>
          <w:bCs/>
        </w:rPr>
        <w:t xml:space="preserve">Technical Lead:</w:t>
      </w:r>
      <w:r>
        <w:t xml:space="preserve"> </w:t>
      </w:r>
      <w:r>
        <w:t xml:space="preserve">[Name/Title] – Evaluates technical aspects of proposed solutions and vendor capabilities.</w:t>
      </w:r>
    </w:p>
    <w:p>
      <w:pPr>
        <w:pStyle w:val="Compact"/>
        <w:numPr>
          <w:ilvl w:val="0"/>
          <w:numId w:val="1001"/>
        </w:numPr>
      </w:pPr>
      <w:r>
        <w:rPr>
          <w:b/>
          <w:bCs/>
        </w:rPr>
        <w:t xml:space="preserve">Legal Counsel:</w:t>
      </w:r>
      <w:r>
        <w:t xml:space="preserve"> </w:t>
      </w:r>
      <w:r>
        <w:t xml:space="preserve">[Name/Title] – Reviews and approves contracts.</w:t>
      </w:r>
    </w:p>
    <w:p>
      <w:pPr>
        <w:pStyle w:val="FirstParagraph"/>
      </w:pPr>
      <w:r>
        <w:rPr>
          <w:b/>
          <w:bCs/>
        </w:rPr>
        <w:t xml:space="preserve">3. Make-or-Buy Decisions Process</w:t>
      </w:r>
    </w:p>
    <w:p>
      <w:pPr>
        <w:pStyle w:val="BodyText"/>
      </w:pPr>
      <w:r>
        <w:t xml:space="preserve">The primary make-or-buy decision revolves around the LLM API access. Developing an internal LLM is deemed infeasible due to significant development time and resource costs. Therefore, procuring access to an existing LLM API (such as Azure OpenAI, Google AI, or others) is the preferred approach. This decision was based on a cost-benefit analysis considering development costs, time-to-market, and maintenance efforts. Secondary procurements (if any) will follow a similar make-or-buy analysis.</w:t>
      </w:r>
    </w:p>
    <w:p>
      <w:pPr>
        <w:pStyle w:val="BodyText"/>
      </w:pPr>
      <w:r>
        <w:rPr>
          <w:b/>
          <w:bCs/>
        </w:rPr>
        <w:t xml:space="preserve">4. Contract Types to be Used</w:t>
      </w:r>
    </w:p>
    <w:p>
      <w:pPr>
        <w:pStyle w:val="BodyText"/>
      </w:pPr>
      <w:r>
        <w:t xml:space="preserve">The primary contract type for LLM API access will be a</w:t>
      </w:r>
      <w:r>
        <w:t xml:space="preserve"> </w:t>
      </w:r>
      <w:r>
        <w:rPr>
          <w:b/>
          <w:bCs/>
        </w:rPr>
        <w:t xml:space="preserve">subscription agreement</w:t>
      </w:r>
      <w:r>
        <w:t xml:space="preserve"> </w:t>
      </w:r>
      <w:r>
        <w:t xml:space="preserve">with a defined service level agreement (SLA). This will ensure ongoing access to the API and guarantee performance levels. For any secondary procurements, the contract type will be determined based on the specific goods or services required, considering factors like complexity, duration, and risk.</w:t>
      </w:r>
    </w:p>
    <w:p>
      <w:pPr>
        <w:pStyle w:val="BodyText"/>
      </w:pPr>
      <w:r>
        <w:rPr>
          <w:b/>
          <w:bCs/>
        </w:rPr>
        <w:t xml:space="preserve">5. Procurement Requirements and Constraints</w:t>
      </w:r>
    </w:p>
    <w:p>
      <w:pPr>
        <w:pStyle w:val="Compact"/>
        <w:numPr>
          <w:ilvl w:val="0"/>
          <w:numId w:val="1002"/>
        </w:numPr>
      </w:pPr>
      <w:r>
        <w:rPr>
          <w:b/>
          <w:bCs/>
        </w:rPr>
        <w:t xml:space="preserve">Requirements:</w:t>
      </w:r>
      <w:r>
        <w:t xml:space="preserve"> </w:t>
      </w:r>
      <w:r>
        <w:t xml:space="preserve">Access to a robust LLM API with sufficient token capacity to handle the project’s documentation generation needs. The API must offer appropriate security features (e.g., authentication and authorization) and comply with relevant data privacy regulations. The provider should offer reliable support and documentation.</w:t>
      </w:r>
    </w:p>
    <w:p>
      <w:pPr>
        <w:pStyle w:val="Compact"/>
        <w:numPr>
          <w:ilvl w:val="0"/>
          <w:numId w:val="1002"/>
        </w:numPr>
      </w:pPr>
      <w:r>
        <w:rPr>
          <w:b/>
          <w:bCs/>
        </w:rPr>
        <w:t xml:space="preserve">Constraints:</w:t>
      </w:r>
      <w:r>
        <w:t xml:space="preserve"> </w:t>
      </w:r>
      <w:r>
        <w:t xml:space="preserve">Budget limitations, project timeline, and compliance with organizational policies.</w:t>
      </w:r>
    </w:p>
    <w:p>
      <w:pPr>
        <w:pStyle w:val="FirstParagraph"/>
      </w:pPr>
      <w:r>
        <w:rPr>
          <w:b/>
          <w:bCs/>
        </w:rPr>
        <w:t xml:space="preserve">6. Independent Cost Estimates Approach</w:t>
      </w:r>
    </w:p>
    <w:p>
      <w:pPr>
        <w:pStyle w:val="BodyText"/>
      </w:pPr>
      <w:r>
        <w:t xml:space="preserve">Independent cost estimates will be obtained from at least three different LLM API providers. These estimates will include the cost of API access, potential support costs, and any other associated fees. The estimates will be compared and analyzed to ensure competitiveness and value for money.</w:t>
      </w:r>
    </w:p>
    <w:p>
      <w:pPr>
        <w:pStyle w:val="BodyText"/>
      </w:pPr>
      <w:r>
        <w:rPr>
          <w:b/>
          <w:bCs/>
        </w:rPr>
        <w:t xml:space="preserve">7. Procurement Evaluation Criteria</w:t>
      </w:r>
    </w:p>
    <w:p>
      <w:pPr>
        <w:pStyle w:val="BodyText"/>
      </w:pPr>
      <w:r>
        <w:t xml:space="preserve">The following criteria will be used to evaluate potential LLM API providers:</w:t>
      </w:r>
    </w:p>
    <w:p>
      <w:pPr>
        <w:pStyle w:val="Compact"/>
        <w:numPr>
          <w:ilvl w:val="0"/>
          <w:numId w:val="1003"/>
        </w:numPr>
      </w:pPr>
      <w:r>
        <w:rPr>
          <w:b/>
          <w:bCs/>
        </w:rPr>
        <w:t xml:space="preserve">Cost:</w:t>
      </w:r>
      <w:r>
        <w:t xml:space="preserve"> </w:t>
      </w:r>
      <w:r>
        <w:t xml:space="preserve">Total cost of ownership (TCO) including API access, support, and other fees.</w:t>
      </w:r>
    </w:p>
    <w:p>
      <w:pPr>
        <w:pStyle w:val="Compact"/>
        <w:numPr>
          <w:ilvl w:val="0"/>
          <w:numId w:val="1003"/>
        </w:numPr>
      </w:pPr>
      <w:r>
        <w:rPr>
          <w:b/>
          <w:bCs/>
        </w:rPr>
        <w:t xml:space="preserve">Performance:</w:t>
      </w:r>
      <w:r>
        <w:t xml:space="preserve"> </w:t>
      </w:r>
      <w:r>
        <w:t xml:space="preserve">API response time, token limits, and overall reliability.</w:t>
      </w:r>
    </w:p>
    <w:p>
      <w:pPr>
        <w:pStyle w:val="Compact"/>
        <w:numPr>
          <w:ilvl w:val="0"/>
          <w:numId w:val="1003"/>
        </w:numPr>
      </w:pPr>
      <w:r>
        <w:rPr>
          <w:b/>
          <w:bCs/>
        </w:rPr>
        <w:t xml:space="preserve">Security:</w:t>
      </w:r>
      <w:r>
        <w:t xml:space="preserve"> </w:t>
      </w:r>
      <w:r>
        <w:t xml:space="preserve">Security features and compliance with relevant data privacy regulations.</w:t>
      </w:r>
    </w:p>
    <w:p>
      <w:pPr>
        <w:pStyle w:val="Compact"/>
        <w:numPr>
          <w:ilvl w:val="0"/>
          <w:numId w:val="1003"/>
        </w:numPr>
      </w:pPr>
      <w:r>
        <w:rPr>
          <w:b/>
          <w:bCs/>
        </w:rPr>
        <w:t xml:space="preserve">Support:</w:t>
      </w:r>
      <w:r>
        <w:t xml:space="preserve"> </w:t>
      </w:r>
      <w:r>
        <w:t xml:space="preserve">Quality of technical support and documentation.</w:t>
      </w:r>
    </w:p>
    <w:p>
      <w:pPr>
        <w:pStyle w:val="Compact"/>
        <w:numPr>
          <w:ilvl w:val="0"/>
          <w:numId w:val="1003"/>
        </w:numPr>
      </w:pPr>
      <w:r>
        <w:rPr>
          <w:b/>
          <w:bCs/>
        </w:rPr>
        <w:t xml:space="preserve">Scalability:</w:t>
      </w:r>
      <w:r>
        <w:t xml:space="preserve"> </w:t>
      </w:r>
      <w:r>
        <w:t xml:space="preserve">Ability to handle increasing demands as the project grows.</w:t>
      </w:r>
    </w:p>
    <w:p>
      <w:pPr>
        <w:pStyle w:val="Compact"/>
        <w:numPr>
          <w:ilvl w:val="0"/>
          <w:numId w:val="1003"/>
        </w:numPr>
      </w:pPr>
      <w:r>
        <w:rPr>
          <w:b/>
          <w:bCs/>
        </w:rPr>
        <w:t xml:space="preserve">Integration:</w:t>
      </w:r>
      <w:r>
        <w:t xml:space="preserve"> </w:t>
      </w:r>
      <w:r>
        <w:t xml:space="preserve">Ease of integration with the Requirements Gathering Agent application.</w:t>
      </w:r>
    </w:p>
    <w:p>
      <w:pPr>
        <w:pStyle w:val="FirstParagraph"/>
      </w:pPr>
      <w:r>
        <w:rPr>
          <w:b/>
          <w:bCs/>
        </w:rPr>
        <w:t xml:space="preserve">8. Procurement Documents to be Used</w:t>
      </w:r>
    </w:p>
    <w:p>
      <w:pPr>
        <w:pStyle w:val="Compact"/>
        <w:numPr>
          <w:ilvl w:val="0"/>
          <w:numId w:val="1004"/>
        </w:numPr>
      </w:pPr>
      <w:r>
        <w:rPr>
          <w:b/>
          <w:bCs/>
        </w:rPr>
        <w:t xml:space="preserve">Request for Information (RFI):</w:t>
      </w:r>
      <w:r>
        <w:t xml:space="preserve"> </w:t>
      </w:r>
      <w:r>
        <w:t xml:space="preserve">To gather information from potential vendors.</w:t>
      </w:r>
    </w:p>
    <w:p>
      <w:pPr>
        <w:pStyle w:val="Compact"/>
        <w:numPr>
          <w:ilvl w:val="0"/>
          <w:numId w:val="1004"/>
        </w:numPr>
      </w:pPr>
      <w:r>
        <w:rPr>
          <w:b/>
          <w:bCs/>
        </w:rPr>
        <w:t xml:space="preserve">Request for Proposal (RFP):</w:t>
      </w:r>
      <w:r>
        <w:t xml:space="preserve"> </w:t>
      </w:r>
      <w:r>
        <w:t xml:space="preserve">To solicit proposals from qualified vendors.</w:t>
      </w:r>
    </w:p>
    <w:p>
      <w:pPr>
        <w:pStyle w:val="Compact"/>
        <w:numPr>
          <w:ilvl w:val="0"/>
          <w:numId w:val="1004"/>
        </w:numPr>
      </w:pPr>
      <w:r>
        <w:rPr>
          <w:b/>
          <w:bCs/>
        </w:rPr>
        <w:t xml:space="preserve">Contract:</w:t>
      </w:r>
      <w:r>
        <w:t xml:space="preserve"> </w:t>
      </w:r>
      <w:r>
        <w:t xml:space="preserve">Formal agreement outlining the terms and conditions of the procurement.</w:t>
      </w:r>
    </w:p>
    <w:p>
      <w:pPr>
        <w:pStyle w:val="Compact"/>
        <w:numPr>
          <w:ilvl w:val="0"/>
          <w:numId w:val="1004"/>
        </w:numPr>
      </w:pPr>
      <w:r>
        <w:rPr>
          <w:b/>
          <w:bCs/>
        </w:rPr>
        <w:t xml:space="preserve">Service Level Agreement (SLA):</w:t>
      </w:r>
      <w:r>
        <w:t xml:space="preserve"> </w:t>
      </w:r>
      <w:r>
        <w:t xml:space="preserve">Defines the expected performance levels of the LLM API.</w:t>
      </w:r>
    </w:p>
    <w:p>
      <w:pPr>
        <w:pStyle w:val="FirstParagraph"/>
      </w:pPr>
      <w:r>
        <w:rPr>
          <w:b/>
          <w:bCs/>
        </w:rPr>
        <w:t xml:space="preserve">9. Risk Management Approach for Procurements</w:t>
      </w:r>
    </w:p>
    <w:p>
      <w:pPr>
        <w:pStyle w:val="BodyText"/>
      </w:pPr>
      <w:r>
        <w:t xml:space="preserve">Potential risks include:</w:t>
      </w:r>
    </w:p>
    <w:p>
      <w:pPr>
        <w:pStyle w:val="Compact"/>
        <w:numPr>
          <w:ilvl w:val="0"/>
          <w:numId w:val="1005"/>
        </w:numPr>
      </w:pPr>
      <w:r>
        <w:rPr>
          <w:b/>
          <w:bCs/>
        </w:rPr>
        <w:t xml:space="preserve">Vendor selection risk:</w:t>
      </w:r>
      <w:r>
        <w:t xml:space="preserve"> </w:t>
      </w:r>
      <w:r>
        <w:t xml:space="preserve">Choosing a vendor that does not meet the project’s requirements. Mitigation: Thorough vendor evaluation and selection process.</w:t>
      </w:r>
    </w:p>
    <w:p>
      <w:pPr>
        <w:pStyle w:val="Compact"/>
        <w:numPr>
          <w:ilvl w:val="0"/>
          <w:numId w:val="1005"/>
        </w:numPr>
      </w:pPr>
      <w:r>
        <w:rPr>
          <w:b/>
          <w:bCs/>
        </w:rPr>
        <w:t xml:space="preserve">Cost overrun risk:</w:t>
      </w:r>
      <w:r>
        <w:t xml:space="preserve"> </w:t>
      </w:r>
      <w:r>
        <w:t xml:space="preserve">Exceeding the allocated budget. Mitigation: Accurate cost estimation and budget control.</w:t>
      </w:r>
    </w:p>
    <w:p>
      <w:pPr>
        <w:pStyle w:val="Compact"/>
        <w:numPr>
          <w:ilvl w:val="0"/>
          <w:numId w:val="1005"/>
        </w:numPr>
      </w:pPr>
      <w:r>
        <w:rPr>
          <w:b/>
          <w:bCs/>
        </w:rPr>
        <w:t xml:space="preserve">Schedule delay risk:</w:t>
      </w:r>
      <w:r>
        <w:t xml:space="preserve"> </w:t>
      </w:r>
      <w:r>
        <w:t xml:space="preserve">Delays in procuring the required goods or services. Mitigation: Establishing clear timelines and milestones.</w:t>
      </w:r>
    </w:p>
    <w:p>
      <w:pPr>
        <w:pStyle w:val="Compact"/>
        <w:numPr>
          <w:ilvl w:val="0"/>
          <w:numId w:val="1005"/>
        </w:numPr>
      </w:pPr>
      <w:r>
        <w:rPr>
          <w:b/>
          <w:bCs/>
        </w:rPr>
        <w:t xml:space="preserve">Performance risk:</w:t>
      </w:r>
      <w:r>
        <w:t xml:space="preserve"> </w:t>
      </w:r>
      <w:r>
        <w:t xml:space="preserve">The LLM API not meeting performance expectations. Mitigation: Thorough testing and a well-defined SLA.</w:t>
      </w:r>
    </w:p>
    <w:p>
      <w:pPr>
        <w:pStyle w:val="FirstParagraph"/>
      </w:pPr>
      <w:r>
        <w:t xml:space="preserve">A risk register will be maintained to track and monitor these risks.</w:t>
      </w:r>
    </w:p>
    <w:p>
      <w:pPr>
        <w:pStyle w:val="BodyText"/>
      </w:pPr>
      <w:r>
        <w:rPr>
          <w:b/>
          <w:bCs/>
        </w:rPr>
        <w:t xml:space="preserve">10. Procurement Performance Metrics</w:t>
      </w:r>
    </w:p>
    <w:p>
      <w:pPr>
        <w:pStyle w:val="Compact"/>
        <w:numPr>
          <w:ilvl w:val="0"/>
          <w:numId w:val="1006"/>
        </w:numPr>
      </w:pPr>
      <w:r>
        <w:rPr>
          <w:b/>
          <w:bCs/>
        </w:rPr>
        <w:t xml:space="preserve">Time to completion:</w:t>
      </w:r>
      <w:r>
        <w:t xml:space="preserve"> </w:t>
      </w:r>
      <w:r>
        <w:t xml:space="preserve">Time taken to complete the procurement process.</w:t>
      </w:r>
    </w:p>
    <w:p>
      <w:pPr>
        <w:pStyle w:val="Compact"/>
        <w:numPr>
          <w:ilvl w:val="0"/>
          <w:numId w:val="1006"/>
        </w:numPr>
      </w:pPr>
      <w:r>
        <w:rPr>
          <w:b/>
          <w:bCs/>
        </w:rPr>
        <w:t xml:space="preserve">Cost efficiency:</w:t>
      </w:r>
      <w:r>
        <w:t xml:space="preserve"> </w:t>
      </w:r>
      <w:r>
        <w:t xml:space="preserve">Actual cost compared to the estimated cost.</w:t>
      </w:r>
    </w:p>
    <w:p>
      <w:pPr>
        <w:pStyle w:val="Compact"/>
        <w:numPr>
          <w:ilvl w:val="0"/>
          <w:numId w:val="1006"/>
        </w:numPr>
      </w:pPr>
      <w:r>
        <w:rPr>
          <w:b/>
          <w:bCs/>
        </w:rPr>
        <w:t xml:space="preserve">Vendor performance:</w:t>
      </w:r>
      <w:r>
        <w:t xml:space="preserve"> </w:t>
      </w:r>
      <w:r>
        <w:t xml:space="preserve">Adherence to the SLA and contract terms.</w:t>
      </w:r>
    </w:p>
    <w:p>
      <w:pPr>
        <w:pStyle w:val="Compact"/>
        <w:numPr>
          <w:ilvl w:val="0"/>
          <w:numId w:val="1006"/>
        </w:numPr>
      </w:pPr>
      <w:r>
        <w:rPr>
          <w:b/>
          <w:bCs/>
        </w:rPr>
        <w:t xml:space="preserve">Quality of deliverables:</w:t>
      </w:r>
      <w:r>
        <w:t xml:space="preserve"> </w:t>
      </w:r>
      <w:r>
        <w:t xml:space="preserve">Meeting the project’s requirements.</w:t>
      </w:r>
    </w:p>
    <w:p>
      <w:pPr>
        <w:pStyle w:val="FirstParagraph"/>
      </w:pPr>
      <w:r>
        <w:rPr>
          <w:b/>
          <w:bCs/>
        </w:rPr>
        <w:t xml:space="preserve">11. Vendor Management Approach</w:t>
      </w:r>
    </w:p>
    <w:p>
      <w:pPr>
        <w:pStyle w:val="BodyText"/>
      </w:pPr>
      <w:r>
        <w:t xml:space="preserve">A vendor management plan will be developed to manage the relationship with the selected LLM API provider. This plan will outline communication protocols, performance monitoring, and escalation procedures.</w:t>
      </w:r>
    </w:p>
    <w:p>
      <w:pPr>
        <w:pStyle w:val="BodyText"/>
      </w:pPr>
      <w:r>
        <w:rPr>
          <w:b/>
          <w:bCs/>
        </w:rPr>
        <w:t xml:space="preserve">12. Procurement Coordination with Other Project Aspects</w:t>
      </w:r>
    </w:p>
    <w:p>
      <w:pPr>
        <w:pStyle w:val="BodyText"/>
      </w:pPr>
      <w:r>
        <w:t xml:space="preserve">Procurement activities will be closely coordinated with other project aspects, such as the development and testing phases, to ensure timely delivery of required goods and services.</w:t>
      </w:r>
    </w:p>
    <w:p>
      <w:pPr>
        <w:pStyle w:val="BodyText"/>
      </w:pPr>
      <w:r>
        <w:rPr>
          <w:b/>
          <w:bCs/>
        </w:rPr>
        <w:t xml:space="preserve">13. Schedule and Timing of Procurement Activities</w:t>
      </w:r>
    </w:p>
    <w:p>
      <w:pPr>
        <w:pStyle w:val="BodyText"/>
      </w:pPr>
      <w:r>
        <w:t xml:space="preserve">The procurement process will be divided into phases with clear milestones and deadlines:</w:t>
      </w:r>
    </w:p>
    <w:p>
      <w:pPr>
        <w:pStyle w:val="Compact"/>
        <w:numPr>
          <w:ilvl w:val="0"/>
          <w:numId w:val="1007"/>
        </w:numPr>
      </w:pPr>
      <w:r>
        <w:rPr>
          <w:b/>
          <w:bCs/>
        </w:rPr>
        <w:t xml:space="preserve">Phase 1:</w:t>
      </w:r>
      <w:r>
        <w:t xml:space="preserve"> </w:t>
      </w:r>
      <w:r>
        <w:t xml:space="preserve">RFI/RFP issuance and vendor selection (2 weeks).</w:t>
      </w:r>
    </w:p>
    <w:p>
      <w:pPr>
        <w:pStyle w:val="Compact"/>
        <w:numPr>
          <w:ilvl w:val="0"/>
          <w:numId w:val="1007"/>
        </w:numPr>
      </w:pPr>
      <w:r>
        <w:rPr>
          <w:b/>
          <w:bCs/>
        </w:rPr>
        <w:t xml:space="preserve">Phase 2:</w:t>
      </w:r>
      <w:r>
        <w:t xml:space="preserve"> </w:t>
      </w:r>
      <w:r>
        <w:t xml:space="preserve">Contract negotiation and approval (1 week).</w:t>
      </w:r>
    </w:p>
    <w:p>
      <w:pPr>
        <w:pStyle w:val="Compact"/>
        <w:numPr>
          <w:ilvl w:val="0"/>
          <w:numId w:val="1007"/>
        </w:numPr>
      </w:pPr>
      <w:r>
        <w:rPr>
          <w:b/>
          <w:bCs/>
        </w:rPr>
        <w:t xml:space="preserve">Phase 3:</w:t>
      </w:r>
      <w:r>
        <w:t xml:space="preserve"> </w:t>
      </w:r>
      <w:r>
        <w:t xml:space="preserve">Contract execution and API access setup (1 week).</w:t>
      </w:r>
    </w:p>
    <w:p>
      <w:pPr>
        <w:pStyle w:val="FirstParagraph"/>
      </w:pPr>
      <w:r>
        <w:rPr>
          <w:b/>
          <w:bCs/>
        </w:rPr>
        <w:t xml:space="preserve">14. Contract Change Control Process</w:t>
      </w:r>
    </w:p>
    <w:p>
      <w:pPr>
        <w:pStyle w:val="BodyText"/>
      </w:pPr>
      <w:r>
        <w:t xml:space="preserve">A formal change control process will be established to manage any changes to the contract. All change requests will be documented, evaluated, and approved before implementation.</w:t>
      </w:r>
    </w:p>
    <w:p>
      <w:pPr>
        <w:pStyle w:val="BodyText"/>
      </w:pPr>
      <w:r>
        <w:rPr>
          <w:b/>
          <w:bCs/>
        </w:rPr>
        <w:t xml:space="preserve">15. Contract Closing Procedures</w:t>
      </w:r>
    </w:p>
    <w:p>
      <w:pPr>
        <w:pStyle w:val="BodyText"/>
      </w:pPr>
      <w:r>
        <w:t xml:space="preserve">Upon completion of the project, the contract will be formally closed. This includes final payment, performance evaluation, and archiving of all relevant documentation.</w:t>
      </w:r>
    </w:p>
    <w:p>
      <w:pPr>
        <w:pStyle w:val="BodyText"/>
      </w:pPr>
      <w:r>
        <w:t xml:space="preserve">This Procurement Management Plan will be reviewed and updated regularly to reflect changes in project requirements and circumstances.</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2025-06-10T15:28:41Z</dcterms:created>
  <dcterms:modified xsi:type="dcterms:W3CDTF">2025-06-10T15:28:41Z</dcterms:modified>
</cp:coreProperties>
</file>

<file path=docProps/custom.xml><?xml version="1.0" encoding="utf-8"?>
<Properties xmlns="http://schemas.openxmlformats.org/officeDocument/2006/custom-properties" xmlns:vt="http://schemas.openxmlformats.org/officeDocument/2006/docPropsVTypes"/>
</file>