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stakeholder-engagement-plan"/>
    <w:p>
      <w:pPr>
        <w:pStyle w:val="Heading1"/>
      </w:pPr>
      <w:r>
        <w:t xml:space="preserve">Stakeholder Engagement Plan</w:t>
      </w:r>
    </w:p>
    <w:p>
      <w:pPr>
        <w:pStyle w:val="FirstParagraph"/>
      </w:pPr>
      <w:r>
        <w:rPr>
          <w:b/>
          <w:bCs/>
        </w:rPr>
        <w:t xml:space="preserve">Generated by Requirements Gathering Agent v2.1.2</w:t>
      </w:r>
      <w:r>
        <w:br/>
      </w:r>
      <w:r>
        <w:rPr>
          <w:b/>
          <w:bCs/>
        </w:rPr>
        <w:t xml:space="preserve">Category:</w:t>
      </w:r>
      <w:r>
        <w:t xml:space="preserve"> </w:t>
      </w:r>
      <w:r>
        <w:t xml:space="preserve">stakeholder-management</w:t>
      </w:r>
      <w:r>
        <w:br/>
      </w:r>
      <w:r>
        <w:rPr>
          <w:b/>
          <w:bCs/>
        </w:rPr>
        <w:t xml:space="preserve">Generated:</w:t>
      </w:r>
      <w:r>
        <w:t xml:space="preserve"> </w:t>
      </w:r>
      <w:r>
        <w:t xml:space="preserve">2025-06-10T08:18:53.740Z</w:t>
      </w:r>
      <w:r>
        <w:br/>
      </w:r>
      <w:r>
        <w:rPr>
          <w:b/>
          <w:bCs/>
        </w:rPr>
        <w:t xml:space="preserve">Description:</w:t>
      </w:r>
      <w:r>
        <w:t xml:space="preserve"> </w:t>
      </w:r>
      <w:r>
        <w:t xml:space="preserve">PMBOK Stakeholder Engagement Plan</w:t>
      </w:r>
    </w:p>
    <w:p>
      <w:r>
        <w:pict>
          <v:rect style="width:0;height:1.5pt" o:hralign="center" o:hrstd="t" o:hr="t"/>
        </w:pict>
      </w:r>
    </w:p>
    <w:bookmarkEnd w:id="9"/>
    <w:bookmarkStart w:id="10" w:name="X480c1a852a3045f73cd265d1c7e85814a2baaf8"/>
    <w:p>
      <w:pPr>
        <w:pStyle w:val="Heading1"/>
      </w:pPr>
      <w:r>
        <w:t xml:space="preserve">Stakeholder Engagement Plan: Requirements Gathering Agent Project</w:t>
      </w:r>
    </w:p>
    <w:p>
      <w:pPr>
        <w:pStyle w:val="FirstParagraph"/>
      </w:pPr>
      <w:r>
        <w:rPr>
          <w:b/>
          <w:bCs/>
        </w:rPr>
        <w:t xml:space="preserve">1. Introduction and Purpose</w:t>
      </w:r>
    </w:p>
    <w:p>
      <w:pPr>
        <w:pStyle w:val="BodyText"/>
      </w:pPr>
      <w:r>
        <w:t xml:space="preserve">This Stakeholder Engagement Plan outlines the strategies and activities for effectively engaging stakeholders throughout the Requirements Gathering Agent (RGA) project lifecycle. The plan aims to ensure consistent communication, manage expectations, and foster collaboration to achieve project success. Effective stakeholder engagement is crucial for the successful launch and adoption of the RGA, given its reliance on user feedback and diverse user needs.</w:t>
      </w:r>
    </w:p>
    <w:p>
      <w:pPr>
        <w:pStyle w:val="BodyText"/>
      </w:pPr>
      <w:r>
        <w:rPr>
          <w:b/>
          <w:bCs/>
        </w:rPr>
        <w:t xml:space="preserve">2. Stakeholder Analysis and Categorization</w:t>
      </w:r>
    </w:p>
    <w:p>
      <w:pPr>
        <w:pStyle w:val="BodyText"/>
      </w:pPr>
      <w:r>
        <w:t xml:space="preserve">The following table categorizes stakeholders based on their influence and interest in the RGA project. This categorization informs the engagement strategy.</w:t>
      </w:r>
    </w:p>
    <w:tbl>
      <w:tblPr>
        <w:tblStyle w:val="Table"/>
        <w:tblW w:type="pct" w:w="5000"/>
        <w:tblLayout w:type="fixed"/>
        <w:tblLook w:firstRow="1" w:lastRow="0" w:firstColumn="0" w:lastColumn="0" w:noHBand="0" w:noVBand="0" w:val="0020"/>
      </w:tblPr>
      <w:tblGrid>
        <w:gridCol w:w="1029"/>
        <w:gridCol w:w="426"/>
        <w:gridCol w:w="390"/>
        <w:gridCol w:w="1029"/>
        <w:gridCol w:w="1029"/>
        <w:gridCol w:w="4013"/>
      </w:tblGrid>
      <w:tr>
        <w:trPr>
          <w:tblHeader w:val="on"/>
        </w:trPr>
        <w:tc>
          <w:tcPr/>
          <w:p>
            <w:pPr>
              <w:pStyle w:val="Compact"/>
            </w:pPr>
            <w:r>
              <w:t xml:space="preserve">Stakeholder Group</w:t>
            </w:r>
          </w:p>
        </w:tc>
        <w:tc>
          <w:tcPr/>
          <w:p>
            <w:pPr>
              <w:pStyle w:val="Compact"/>
            </w:pPr>
            <w:r>
              <w:t xml:space="preserve">Influence</w:t>
            </w:r>
          </w:p>
        </w:tc>
        <w:tc>
          <w:tcPr/>
          <w:p>
            <w:pPr>
              <w:pStyle w:val="Compact"/>
            </w:pPr>
            <w:r>
              <w:t xml:space="preserve">Interest</w:t>
            </w:r>
          </w:p>
        </w:tc>
        <w:tc>
          <w:tcPr/>
          <w:p>
            <w:pPr>
              <w:pStyle w:val="Compact"/>
            </w:pPr>
            <w:r>
              <w:t xml:space="preserve">Engagement Level (Current)</w:t>
            </w:r>
          </w:p>
        </w:tc>
        <w:tc>
          <w:tcPr/>
          <w:p>
            <w:pPr>
              <w:pStyle w:val="Compact"/>
            </w:pPr>
            <w:r>
              <w:t xml:space="preserve">Engagement Level (Desired)</w:t>
            </w:r>
          </w:p>
        </w:tc>
        <w:tc>
          <w:tcPr/>
          <w:p>
            <w:pPr>
              <w:pStyle w:val="Compact"/>
            </w:pPr>
            <w:r>
              <w:t xml:space="preserve">Engagement Strategy</w:t>
            </w:r>
          </w:p>
        </w:tc>
      </w:tr>
      <w:tr>
        <w:tc>
          <w:tcPr/>
          <w:p>
            <w:pPr>
              <w:pStyle w:val="Compact"/>
            </w:pPr>
            <w:r>
              <w:rPr>
                <w:b/>
                <w:bCs/>
              </w:rPr>
              <w:t xml:space="preserve">Internal Stakeholders: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Development Team</w:t>
            </w:r>
          </w:p>
        </w:tc>
        <w:tc>
          <w:tcPr/>
          <w:p>
            <w:pPr>
              <w:pStyle w:val="Compact"/>
            </w:pPr>
            <w:r>
              <w:t xml:space="preserve">High</w:t>
            </w:r>
          </w:p>
        </w:tc>
        <w:tc>
          <w:tcPr/>
          <w:p>
            <w:pPr>
              <w:pStyle w:val="Compact"/>
            </w:pPr>
            <w:r>
              <w:t xml:space="preserve">High</w:t>
            </w:r>
          </w:p>
        </w:tc>
        <w:tc>
          <w:tcPr/>
          <w:p>
            <w:pPr>
              <w:pStyle w:val="Compact"/>
            </w:pPr>
            <w:r>
              <w:t xml:space="preserve">Supportive</w:t>
            </w:r>
          </w:p>
        </w:tc>
        <w:tc>
          <w:tcPr/>
          <w:p>
            <w:pPr>
              <w:pStyle w:val="Compact"/>
            </w:pPr>
            <w:r>
              <w:t xml:space="preserve">Leading</w:t>
            </w:r>
          </w:p>
        </w:tc>
        <w:tc>
          <w:tcPr/>
          <w:p>
            <w:pPr>
              <w:pStyle w:val="Compact"/>
            </w:pPr>
            <w:r>
              <w:t xml:space="preserve">Regular stand-ups, code reviews, daily communication, collaborative problem-solving.</w:t>
            </w:r>
          </w:p>
        </w:tc>
      </w:tr>
      <w:tr>
        <w:tc>
          <w:tcPr/>
          <w:p>
            <w:pPr>
              <w:pStyle w:val="Compact"/>
            </w:pPr>
            <w:r>
              <w:t xml:space="preserve">Product Management</w:t>
            </w:r>
          </w:p>
        </w:tc>
        <w:tc>
          <w:tcPr/>
          <w:p>
            <w:pPr>
              <w:pStyle w:val="Compact"/>
            </w:pPr>
            <w:r>
              <w:t xml:space="preserve">High</w:t>
            </w:r>
          </w:p>
        </w:tc>
        <w:tc>
          <w:tcPr/>
          <w:p>
            <w:pPr>
              <w:pStyle w:val="Compact"/>
            </w:pPr>
            <w:r>
              <w:t xml:space="preserve">High</w:t>
            </w:r>
          </w:p>
        </w:tc>
        <w:tc>
          <w:tcPr/>
          <w:p>
            <w:pPr>
              <w:pStyle w:val="Compact"/>
            </w:pPr>
            <w:r>
              <w:t xml:space="preserve">Supportive</w:t>
            </w:r>
          </w:p>
        </w:tc>
        <w:tc>
          <w:tcPr/>
          <w:p>
            <w:pPr>
              <w:pStyle w:val="Compact"/>
            </w:pPr>
            <w:r>
              <w:t xml:space="preserve">Leading</w:t>
            </w:r>
          </w:p>
        </w:tc>
        <w:tc>
          <w:tcPr/>
          <w:p>
            <w:pPr>
              <w:pStyle w:val="Compact"/>
            </w:pPr>
            <w:r>
              <w:t xml:space="preserve">Regular meetings, sprint reviews, feedback incorporation, roadmap alignment.</w:t>
            </w:r>
          </w:p>
        </w:tc>
      </w:tr>
      <w:tr>
        <w:tc>
          <w:tcPr/>
          <w:p>
            <w:pPr>
              <w:pStyle w:val="Compact"/>
            </w:pPr>
            <w:r>
              <w:t xml:space="preserve">Project Management Office (PMO)</w:t>
            </w:r>
          </w:p>
        </w:tc>
        <w:tc>
          <w:tcPr/>
          <w:p>
            <w:pPr>
              <w:pStyle w:val="Compact"/>
            </w:pPr>
            <w:r>
              <w:t xml:space="preserve">Medium</w:t>
            </w:r>
          </w:p>
        </w:tc>
        <w:tc>
          <w:tcPr/>
          <w:p>
            <w:pPr>
              <w:pStyle w:val="Compact"/>
            </w:pPr>
            <w:r>
              <w:t xml:space="preserve">Medium</w:t>
            </w:r>
          </w:p>
        </w:tc>
        <w:tc>
          <w:tcPr/>
          <w:p>
            <w:pPr>
              <w:pStyle w:val="Compact"/>
            </w:pPr>
            <w:r>
              <w:t xml:space="preserve">Neutral</w:t>
            </w:r>
          </w:p>
        </w:tc>
        <w:tc>
          <w:tcPr/>
          <w:p>
            <w:pPr>
              <w:pStyle w:val="Compact"/>
            </w:pPr>
            <w:r>
              <w:t xml:space="preserve">Supportive</w:t>
            </w:r>
          </w:p>
        </w:tc>
        <w:tc>
          <w:tcPr/>
          <w:p>
            <w:pPr>
              <w:pStyle w:val="Compact"/>
            </w:pPr>
            <w:r>
              <w:t xml:space="preserve">Regular progress reports, risk mitigation discussions, adherence to PMBOK standards.</w:t>
            </w:r>
          </w:p>
        </w:tc>
      </w:tr>
      <w:tr>
        <w:tc>
          <w:tcPr/>
          <w:p>
            <w:pPr>
              <w:pStyle w:val="Compact"/>
            </w:pPr>
            <w:r>
              <w:t xml:space="preserve">Marketing &amp; Sales</w:t>
            </w:r>
          </w:p>
        </w:tc>
        <w:tc>
          <w:tcPr/>
          <w:p>
            <w:pPr>
              <w:pStyle w:val="Compact"/>
            </w:pPr>
            <w:r>
              <w:t xml:space="preserve">Medium</w:t>
            </w:r>
          </w:p>
        </w:tc>
        <w:tc>
          <w:tcPr/>
          <w:p>
            <w:pPr>
              <w:pStyle w:val="Compact"/>
            </w:pPr>
            <w:r>
              <w:t xml:space="preserve">High</w:t>
            </w:r>
          </w:p>
        </w:tc>
        <w:tc>
          <w:tcPr/>
          <w:p>
            <w:pPr>
              <w:pStyle w:val="Compact"/>
            </w:pPr>
            <w:r>
              <w:t xml:space="preserve">Neutral</w:t>
            </w:r>
          </w:p>
        </w:tc>
        <w:tc>
          <w:tcPr/>
          <w:p>
            <w:pPr>
              <w:pStyle w:val="Compact"/>
            </w:pPr>
            <w:r>
              <w:t xml:space="preserve">Supportive</w:t>
            </w:r>
          </w:p>
        </w:tc>
        <w:tc>
          <w:tcPr/>
          <w:p>
            <w:pPr>
              <w:pStyle w:val="Compact"/>
            </w:pPr>
            <w:r>
              <w:t xml:space="preserve">Early access, marketing materials review, feedback on value proposition.</w:t>
            </w:r>
          </w:p>
        </w:tc>
      </w:tr>
      <w:tr>
        <w:tc>
          <w:tcPr/>
          <w:p>
            <w:pPr>
              <w:pStyle w:val="Compact"/>
            </w:pPr>
            <w:r>
              <w:rPr>
                <w:b/>
                <w:bCs/>
              </w:rPr>
              <w:t xml:space="preserve">External Stakeholders: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End-Users (Project Managers, Business Analysts)</w:t>
            </w:r>
          </w:p>
        </w:tc>
        <w:tc>
          <w:tcPr/>
          <w:p>
            <w:pPr>
              <w:pStyle w:val="Compact"/>
            </w:pPr>
            <w:r>
              <w:t xml:space="preserve">Medium</w:t>
            </w:r>
          </w:p>
        </w:tc>
        <w:tc>
          <w:tcPr/>
          <w:p>
            <w:pPr>
              <w:pStyle w:val="Compact"/>
            </w:pPr>
            <w:r>
              <w:t xml:space="preserve">High</w:t>
            </w:r>
          </w:p>
        </w:tc>
        <w:tc>
          <w:tcPr/>
          <w:p>
            <w:pPr>
              <w:pStyle w:val="Compact"/>
            </w:pPr>
            <w:r>
              <w:t xml:space="preserve">Unaware/Neutral</w:t>
            </w:r>
          </w:p>
        </w:tc>
        <w:tc>
          <w:tcPr/>
          <w:p>
            <w:pPr>
              <w:pStyle w:val="Compact"/>
            </w:pPr>
            <w:r>
              <w:t xml:space="preserve">Supportive</w:t>
            </w:r>
          </w:p>
        </w:tc>
        <w:tc>
          <w:tcPr/>
          <w:p>
            <w:pPr>
              <w:pStyle w:val="Compact"/>
            </w:pPr>
            <w:r>
              <w:t xml:space="preserve">Online documentation, tutorials, webinars, user forums, social media engagement, early access programs, surveys.</w:t>
            </w:r>
          </w:p>
        </w:tc>
      </w:tr>
      <w:tr>
        <w:tc>
          <w:tcPr/>
          <w:p>
            <w:pPr>
              <w:pStyle w:val="Compact"/>
            </w:pPr>
            <w:r>
              <w:t xml:space="preserve">AI Provider (Azure, Google, GitHub, Ollama)</w:t>
            </w:r>
          </w:p>
        </w:tc>
        <w:tc>
          <w:tcPr/>
          <w:p>
            <w:pPr>
              <w:pStyle w:val="Compact"/>
            </w:pPr>
            <w:r>
              <w:t xml:space="preserve">High</w:t>
            </w:r>
          </w:p>
        </w:tc>
        <w:tc>
          <w:tcPr/>
          <w:p>
            <w:pPr>
              <w:pStyle w:val="Compact"/>
            </w:pPr>
            <w:r>
              <w:t xml:space="preserve">High</w:t>
            </w:r>
          </w:p>
        </w:tc>
        <w:tc>
          <w:tcPr/>
          <w:p>
            <w:pPr>
              <w:pStyle w:val="Compact"/>
            </w:pPr>
            <w:r>
              <w:t xml:space="preserve">Supportive</w:t>
            </w:r>
          </w:p>
        </w:tc>
        <w:tc>
          <w:tcPr/>
          <w:p>
            <w:pPr>
              <w:pStyle w:val="Compact"/>
            </w:pPr>
            <w:r>
              <w:t xml:space="preserve">Leading</w:t>
            </w:r>
          </w:p>
        </w:tc>
        <w:tc>
          <w:tcPr/>
          <w:p>
            <w:pPr>
              <w:pStyle w:val="Compact"/>
            </w:pPr>
            <w:r>
              <w:t xml:space="preserve">Service Level Agreements (SLAs), technical integration support, API documentation, communication channels.</w:t>
            </w:r>
          </w:p>
        </w:tc>
      </w:tr>
      <w:tr>
        <w:tc>
          <w:tcPr/>
          <w:p>
            <w:pPr>
              <w:pStyle w:val="Compact"/>
            </w:pPr>
            <w:r>
              <w:t xml:space="preserve">Open Source Community</w:t>
            </w:r>
          </w:p>
        </w:tc>
        <w:tc>
          <w:tcPr/>
          <w:p>
            <w:pPr>
              <w:pStyle w:val="Compact"/>
            </w:pPr>
            <w:r>
              <w:t xml:space="preserve">Low</w:t>
            </w:r>
          </w:p>
        </w:tc>
        <w:tc>
          <w:tcPr/>
          <w:p>
            <w:pPr>
              <w:pStyle w:val="Compact"/>
            </w:pPr>
            <w:r>
              <w:t xml:space="preserve">Medium</w:t>
            </w:r>
          </w:p>
        </w:tc>
        <w:tc>
          <w:tcPr/>
          <w:p>
            <w:pPr>
              <w:pStyle w:val="Compact"/>
            </w:pPr>
            <w:r>
              <w:t xml:space="preserve">Unaware</w:t>
            </w:r>
          </w:p>
        </w:tc>
        <w:tc>
          <w:tcPr/>
          <w:p>
            <w:pPr>
              <w:pStyle w:val="Compact"/>
            </w:pPr>
            <w:r>
              <w:t xml:space="preserve">Supportive</w:t>
            </w:r>
          </w:p>
        </w:tc>
        <w:tc>
          <w:tcPr/>
          <w:p>
            <w:pPr>
              <w:pStyle w:val="Compact"/>
            </w:pPr>
            <w:r>
              <w:t xml:space="preserve">GitHub issues, pull requests, community forums, blog posts, participation in relevant events.</w:t>
            </w:r>
          </w:p>
        </w:tc>
      </w:tr>
    </w:tbl>
    <w:p>
      <w:pPr>
        <w:pStyle w:val="BodyText"/>
      </w:pPr>
      <w:r>
        <w:rPr>
          <w:b/>
          <w:bCs/>
        </w:rPr>
        <w:t xml:space="preserve">3. Engagement Methods and Techniques</w:t>
      </w:r>
    </w:p>
    <w:p>
      <w:pPr>
        <w:pStyle w:val="BodyText"/>
      </w:pPr>
      <w:r>
        <w:t xml:space="preserve">The engagement strategy will employ a multi-faceted approach tailored to each stakeholder group:</w:t>
      </w:r>
    </w:p>
    <w:p>
      <w:pPr>
        <w:pStyle w:val="Compact"/>
        <w:numPr>
          <w:ilvl w:val="0"/>
          <w:numId w:val="1001"/>
        </w:numPr>
      </w:pPr>
      <w:r>
        <w:rPr>
          <w:b/>
          <w:bCs/>
        </w:rPr>
        <w:t xml:space="preserve">Internal Stakeholders:</w:t>
      </w:r>
      <w:r>
        <w:t xml:space="preserve"> </w:t>
      </w:r>
      <w:r>
        <w:t xml:space="preserve">Regular meetings, collaborative tools (e.g., Jira, Confluence), email communication, informal check-ins.</w:t>
      </w:r>
    </w:p>
    <w:p>
      <w:pPr>
        <w:pStyle w:val="Compact"/>
        <w:numPr>
          <w:ilvl w:val="0"/>
          <w:numId w:val="1001"/>
        </w:numPr>
      </w:pPr>
      <w:r>
        <w:rPr>
          <w:b/>
          <w:bCs/>
        </w:rPr>
        <w:t xml:space="preserve">External Stakeholders:</w:t>
      </w:r>
      <w:r>
        <w:t xml:space="preserve"> </w:t>
      </w:r>
      <w:r>
        <w:t xml:space="preserve">Webinars, online forums, social media engagement, surveys, user feedback forms, email newsletters, documentation, early access programs, blog posts, case studies.</w:t>
      </w:r>
    </w:p>
    <w:p>
      <w:pPr>
        <w:pStyle w:val="Compact"/>
        <w:numPr>
          <w:ilvl w:val="0"/>
          <w:numId w:val="1001"/>
        </w:numPr>
      </w:pPr>
      <w:r>
        <w:rPr>
          <w:b/>
          <w:bCs/>
        </w:rPr>
        <w:t xml:space="preserve">AI Providers:</w:t>
      </w:r>
      <w:r>
        <w:t xml:space="preserve"> </w:t>
      </w:r>
      <w:r>
        <w:t xml:space="preserve">Formal contracts, SLAs, regular technical meetings, dedicated communication channels.</w:t>
      </w:r>
    </w:p>
    <w:p>
      <w:pPr>
        <w:pStyle w:val="FirstParagraph"/>
      </w:pPr>
      <w:r>
        <w:rPr>
          <w:b/>
          <w:bCs/>
        </w:rPr>
        <w:t xml:space="preserve">4. Communication Requirements and Preferences</w:t>
      </w:r>
    </w:p>
    <w:p>
      <w:pPr>
        <w:pStyle w:val="Compact"/>
        <w:numPr>
          <w:ilvl w:val="0"/>
          <w:numId w:val="1002"/>
        </w:numPr>
      </w:pPr>
      <w:r>
        <w:rPr>
          <w:b/>
          <w:bCs/>
        </w:rPr>
        <w:t xml:space="preserve">Frequency:</w:t>
      </w:r>
      <w:r>
        <w:t xml:space="preserve"> </w:t>
      </w:r>
      <w:r>
        <w:t xml:space="preserve">Regular updates (weekly for internal, monthly for external). Critical updates will be communicated immediately.</w:t>
      </w:r>
    </w:p>
    <w:p>
      <w:pPr>
        <w:pStyle w:val="Compact"/>
        <w:numPr>
          <w:ilvl w:val="0"/>
          <w:numId w:val="1002"/>
        </w:numPr>
      </w:pPr>
      <w:r>
        <w:rPr>
          <w:b/>
          <w:bCs/>
        </w:rPr>
        <w:t xml:space="preserve">Methods:</w:t>
      </w:r>
      <w:r>
        <w:t xml:space="preserve"> </w:t>
      </w:r>
      <w:r>
        <w:t xml:space="preserve">Email, project management software, instant messaging, video conferencing, webinars, social media.</w:t>
      </w:r>
    </w:p>
    <w:p>
      <w:pPr>
        <w:pStyle w:val="Compact"/>
        <w:numPr>
          <w:ilvl w:val="0"/>
          <w:numId w:val="1002"/>
        </w:numPr>
      </w:pPr>
      <w:r>
        <w:rPr>
          <w:b/>
          <w:bCs/>
        </w:rPr>
        <w:t xml:space="preserve">Content:</w:t>
      </w:r>
      <w:r>
        <w:t xml:space="preserve"> </w:t>
      </w:r>
      <w:r>
        <w:t xml:space="preserve">Progress reports, risk assessments, issue logs, meeting minutes, release notes, user guides, marketing materials.</w:t>
      </w:r>
    </w:p>
    <w:p>
      <w:pPr>
        <w:pStyle w:val="Compact"/>
        <w:numPr>
          <w:ilvl w:val="0"/>
          <w:numId w:val="1002"/>
        </w:numPr>
      </w:pPr>
      <w:r>
        <w:rPr>
          <w:b/>
          <w:bCs/>
        </w:rPr>
        <w:t xml:space="preserve">Format:</w:t>
      </w:r>
      <w:r>
        <w:t xml:space="preserve"> </w:t>
      </w:r>
      <w:r>
        <w:t xml:space="preserve">Clear, concise, and accessible formats (e.g., short emails, visual dashboards, reports).</w:t>
      </w:r>
    </w:p>
    <w:p>
      <w:pPr>
        <w:pStyle w:val="FirstParagraph"/>
      </w:pPr>
      <w:r>
        <w:rPr>
          <w:b/>
          <w:bCs/>
        </w:rPr>
        <w:t xml:space="preserve">5. Escalation Procedures and Protocols</w:t>
      </w:r>
    </w:p>
    <w:p>
      <w:pPr>
        <w:pStyle w:val="BodyText"/>
      </w:pPr>
      <w:r>
        <w:t xml:space="preserve">A clear escalation path will be defined for handling conflicts or unresolved issues. This involves escalating issues to the appropriate manager or stakeholder based on the severity and nature of the problem.</w:t>
      </w:r>
    </w:p>
    <w:p>
      <w:pPr>
        <w:pStyle w:val="BodyText"/>
      </w:pPr>
      <w:r>
        <w:rPr>
          <w:b/>
          <w:bCs/>
        </w:rPr>
        <w:t xml:space="preserve">6. Change Management Considerations</w:t>
      </w:r>
    </w:p>
    <w:p>
      <w:pPr>
        <w:pStyle w:val="BodyText"/>
      </w:pPr>
      <w:r>
        <w:t xml:space="preserve">Change requests will be formally documented and reviewed by the project management team. Any significant changes impacting stakeholders will be communicated proactively and transparently. Training and support will be provided for any major changes.</w:t>
      </w:r>
    </w:p>
    <w:p>
      <w:pPr>
        <w:pStyle w:val="BodyText"/>
      </w:pPr>
      <w:r>
        <w:rPr>
          <w:b/>
          <w:bCs/>
        </w:rPr>
        <w:t xml:space="preserve">7. Cultural and Organizational Considerations</w:t>
      </w:r>
    </w:p>
    <w:p>
      <w:pPr>
        <w:pStyle w:val="BodyText"/>
      </w:pPr>
      <w:r>
        <w:t xml:space="preserve">The engagement strategy will consider the diverse cultural backgrounds and communication styles of stakeholders. All communication will be respectful and inclusive.</w:t>
      </w:r>
    </w:p>
    <w:p>
      <w:pPr>
        <w:pStyle w:val="BodyText"/>
      </w:pPr>
      <w:r>
        <w:rPr>
          <w:b/>
          <w:bCs/>
        </w:rPr>
        <w:t xml:space="preserve">8. Resource Requirements for Engagement</w:t>
      </w:r>
    </w:p>
    <w:p>
      <w:pPr>
        <w:pStyle w:val="BodyText"/>
      </w:pPr>
      <w:r>
        <w:t xml:space="preserve">The project will allocate resources (time, budget, personnel) for stakeholder engagement activities, including meeting facilitation, communication materials creation, and user support.</w:t>
      </w:r>
    </w:p>
    <w:p>
      <w:pPr>
        <w:pStyle w:val="BodyText"/>
      </w:pPr>
      <w:r>
        <w:rPr>
          <w:b/>
          <w:bCs/>
        </w:rPr>
        <w:t xml:space="preserve">9. Timing and Frequency of Engagement Activities</w:t>
      </w:r>
    </w:p>
    <w:p>
      <w:pPr>
        <w:pStyle w:val="BodyText"/>
      </w:pPr>
      <w:r>
        <w:t xml:space="preserve">A detailed timeline will be created outlining the timing and frequency of engagement activities. This will be aligned with project milestones and critical decision points.</w:t>
      </w:r>
    </w:p>
    <w:p>
      <w:pPr>
        <w:pStyle w:val="BodyText"/>
      </w:pPr>
      <w:r>
        <w:rPr>
          <w:b/>
          <w:bCs/>
        </w:rPr>
        <w:t xml:space="preserve">10. Monitoring and Controlling Approach</w:t>
      </w:r>
    </w:p>
    <w:p>
      <w:pPr>
        <w:pStyle w:val="BodyText"/>
      </w:pPr>
      <w:r>
        <w:t xml:space="preserve">Stakeholder satisfaction will be monitored through regular surveys, feedback forms, and informal check-ins. The engagement plan will be reviewed and updated as needed throughout the project.</w:t>
      </w:r>
    </w:p>
    <w:p>
      <w:pPr>
        <w:pStyle w:val="BodyText"/>
      </w:pPr>
      <w:r>
        <w:rPr>
          <w:b/>
          <w:bCs/>
        </w:rPr>
        <w:t xml:space="preserve">11. Risk Management for Stakeholder Engagement</w:t>
      </w:r>
    </w:p>
    <w:p>
      <w:pPr>
        <w:pStyle w:val="BodyText"/>
      </w:pPr>
      <w:r>
        <w:t xml:space="preserve">Potential risks include:</w:t>
      </w:r>
    </w:p>
    <w:p>
      <w:pPr>
        <w:pStyle w:val="Compact"/>
        <w:numPr>
          <w:ilvl w:val="0"/>
          <w:numId w:val="1003"/>
        </w:numPr>
      </w:pPr>
      <w:r>
        <w:rPr>
          <w:b/>
          <w:bCs/>
        </w:rPr>
        <w:t xml:space="preserve">Communication breakdowns:</w:t>
      </w:r>
      <w:r>
        <w:t xml:space="preserve"> </w:t>
      </w:r>
      <w:r>
        <w:t xml:space="preserve">Mitigation: Establish clear communication channels and protocols.</w:t>
      </w:r>
    </w:p>
    <w:p>
      <w:pPr>
        <w:pStyle w:val="Compact"/>
        <w:numPr>
          <w:ilvl w:val="0"/>
          <w:numId w:val="1003"/>
        </w:numPr>
      </w:pPr>
      <w:r>
        <w:rPr>
          <w:b/>
          <w:bCs/>
        </w:rPr>
        <w:t xml:space="preserve">Lack of stakeholder buy-in:</w:t>
      </w:r>
      <w:r>
        <w:t xml:space="preserve"> </w:t>
      </w:r>
      <w:r>
        <w:t xml:space="preserve">Mitigation: Proactive engagement, addressing concerns early.</w:t>
      </w:r>
    </w:p>
    <w:p>
      <w:pPr>
        <w:pStyle w:val="Compact"/>
        <w:numPr>
          <w:ilvl w:val="0"/>
          <w:numId w:val="1003"/>
        </w:numPr>
      </w:pPr>
      <w:r>
        <w:rPr>
          <w:b/>
          <w:bCs/>
        </w:rPr>
        <w:t xml:space="preserve">Unrealistic expectations:</w:t>
      </w:r>
      <w:r>
        <w:t xml:space="preserve"> </w:t>
      </w:r>
      <w:r>
        <w:t xml:space="preserve">Mitigation: Setting clear expectations and managing scope.</w:t>
      </w:r>
    </w:p>
    <w:p>
      <w:pPr>
        <w:pStyle w:val="FirstParagraph"/>
      </w:pPr>
      <w:r>
        <w:rPr>
          <w:b/>
          <w:bCs/>
        </w:rPr>
        <w:t xml:space="preserve">12. Success Metrics and Measurement</w:t>
      </w:r>
    </w:p>
    <w:p>
      <w:pPr>
        <w:pStyle w:val="BodyText"/>
      </w:pPr>
      <w:r>
        <w:t xml:space="preserve">Success will be measured by:</w:t>
      </w:r>
    </w:p>
    <w:p>
      <w:pPr>
        <w:pStyle w:val="Compact"/>
        <w:numPr>
          <w:ilvl w:val="0"/>
          <w:numId w:val="1004"/>
        </w:numPr>
      </w:pPr>
      <w:r>
        <w:rPr>
          <w:b/>
          <w:bCs/>
        </w:rPr>
        <w:t xml:space="preserve">Stakeholder satisfaction:</w:t>
      </w:r>
      <w:r>
        <w:t xml:space="preserve"> </w:t>
      </w:r>
      <w:r>
        <w:t xml:space="preserve">Measured through surveys and feedback.</w:t>
      </w:r>
    </w:p>
    <w:p>
      <w:pPr>
        <w:pStyle w:val="Compact"/>
        <w:numPr>
          <w:ilvl w:val="0"/>
          <w:numId w:val="1004"/>
        </w:numPr>
      </w:pPr>
      <w:r>
        <w:rPr>
          <w:b/>
          <w:bCs/>
        </w:rPr>
        <w:t xml:space="preserve">Project completion on time and within budget:</w:t>
      </w:r>
      <w:r>
        <w:t xml:space="preserve"> </w:t>
      </w:r>
      <w:r>
        <w:t xml:space="preserve">Demonstrates effective planning and execution.</w:t>
      </w:r>
    </w:p>
    <w:p>
      <w:pPr>
        <w:pStyle w:val="Compact"/>
        <w:numPr>
          <w:ilvl w:val="0"/>
          <w:numId w:val="1004"/>
        </w:numPr>
      </w:pPr>
      <w:r>
        <w:rPr>
          <w:b/>
          <w:bCs/>
        </w:rPr>
        <w:t xml:space="preserve">Adoption rate of the RGA:</w:t>
      </w:r>
      <w:r>
        <w:t xml:space="preserve"> </w:t>
      </w:r>
      <w:r>
        <w:t xml:space="preserve">Indicates successful user engagement and acceptance.</w:t>
      </w:r>
    </w:p>
    <w:p>
      <w:pPr>
        <w:pStyle w:val="FirstParagraph"/>
      </w:pPr>
      <w:r>
        <w:t xml:space="preserve">This plan will be reviewed and updated regularly to ensure its effectiveness in supporting the successful completion of the Requirements Gathering Agent project.</w:t>
      </w:r>
    </w:p>
    <w:bookmarkEnd w:id="1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2025-06-10T15:33:46Z</dcterms:created>
  <dcterms:modified xsi:type="dcterms:W3CDTF">2025-06-10T15:33:46Z</dcterms:modified>
</cp:coreProperties>
</file>

<file path=docProps/custom.xml><?xml version="1.0" encoding="utf-8"?>
<Properties xmlns="http://schemas.openxmlformats.org/officeDocument/2006/custom-properties" xmlns:vt="http://schemas.openxmlformats.org/officeDocument/2006/docPropsVTypes"/>
</file>