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44632864b84625d11e58bf1fdfbae7b44f1ceb7"/>
    <w:p>
      <w:pPr>
        <w:pStyle w:val="Heading2"/>
      </w:pPr>
      <w:r>
        <w:t xml:space="preserve">Compliance Analysis for the Requirements Gathering Agent Project</w:t>
      </w:r>
    </w:p>
    <w:p>
      <w:pPr>
        <w:pStyle w:val="FirstParagraph"/>
      </w:pPr>
      <w:r>
        <w:t xml:space="preserve">The Requirements Gathering Agent (RGA) project presents several compliance considerations across various regulatory and industry frameworks. The analysis below focuses on practical, actionable guidance for integration into the development process.</w:t>
      </w:r>
    </w:p>
    <w:p>
      <w:pPr>
        <w:pStyle w:val="BodyText"/>
      </w:pPr>
      <w:r>
        <w:rPr>
          <w:b/>
          <w:bCs/>
        </w:rPr>
        <w:t xml:space="preserve">I. Data Protection and Privacy:</w:t>
      </w:r>
    </w:p>
    <w:p>
      <w:pPr>
        <w:pStyle w:val="Compact"/>
        <w:numPr>
          <w:ilvl w:val="0"/>
          <w:numId w:val="1001"/>
        </w:numPr>
      </w:pPr>
      <w:r>
        <w:rPr>
          <w:b/>
          <w:bCs/>
        </w:rPr>
        <w:t xml:space="preserve">GDPR (General Data Protection Regulation):</w:t>
      </w:r>
      <w:r>
        <w:t xml:space="preserve"> </w:t>
      </w:r>
      <w:r>
        <w:t xml:space="preserve">RGA processes project data, potentially including sensitive information about stakeholders, requirements, and project plans. Compliance requires:</w:t>
      </w:r>
    </w:p>
    <w:p>
      <w:pPr>
        <w:pStyle w:val="Compact"/>
        <w:numPr>
          <w:ilvl w:val="1"/>
          <w:numId w:val="1002"/>
        </w:numPr>
      </w:pPr>
      <w:r>
        <w:rPr>
          <w:b/>
          <w:bCs/>
        </w:rPr>
        <w:t xml:space="preserve">Data Minimization:</w:t>
      </w:r>
      <w:r>
        <w:t xml:space="preserve"> </w:t>
      </w:r>
      <w:r>
        <w:t xml:space="preserve">Only collect and process necessary data. Clearly define data retention policies.</w:t>
      </w:r>
    </w:p>
    <w:p>
      <w:pPr>
        <w:pStyle w:val="Compact"/>
        <w:numPr>
          <w:ilvl w:val="1"/>
          <w:numId w:val="1002"/>
        </w:numPr>
      </w:pPr>
      <w:r>
        <w:rPr>
          <w:b/>
          <w:bCs/>
        </w:rPr>
        <w:t xml:space="preserve">Purpose Limitation:</w:t>
      </w:r>
      <w:r>
        <w:t xml:space="preserve"> </w:t>
      </w:r>
      <w:r>
        <w:t xml:space="preserve">Specify data processing purposes upfront and ensure they remain consistent.</w:t>
      </w:r>
    </w:p>
    <w:p>
      <w:pPr>
        <w:pStyle w:val="Compact"/>
        <w:numPr>
          <w:ilvl w:val="1"/>
          <w:numId w:val="1002"/>
        </w:numPr>
      </w:pPr>
      <w:r>
        <w:rPr>
          <w:b/>
          <w:bCs/>
        </w:rPr>
        <w:t xml:space="preserve">Data Security:</w:t>
      </w:r>
      <w:r>
        <w:t xml:space="preserve"> </w:t>
      </w:r>
      <w:r>
        <w:t xml:space="preserve">Implement appropriate technical and organizational measures to protect data against unauthorized access, loss, or alteration. This includes secure storage of API keys and project data.</w:t>
      </w:r>
    </w:p>
    <w:p>
      <w:pPr>
        <w:pStyle w:val="Compact"/>
        <w:numPr>
          <w:ilvl w:val="1"/>
          <w:numId w:val="1002"/>
        </w:numPr>
      </w:pPr>
      <w:r>
        <w:rPr>
          <w:b/>
          <w:bCs/>
        </w:rPr>
        <w:t xml:space="preserve">Data Subject Rights:</w:t>
      </w:r>
      <w:r>
        <w:t xml:space="preserve"> </w:t>
      </w:r>
      <w:r>
        <w:t xml:space="preserve">Establish procedures for data subjects to exercise their rights (access, rectification, erasure).</w:t>
      </w:r>
    </w:p>
    <w:p>
      <w:pPr>
        <w:pStyle w:val="Compact"/>
        <w:numPr>
          <w:ilvl w:val="1"/>
          <w:numId w:val="1002"/>
        </w:numPr>
      </w:pPr>
      <w:r>
        <w:rPr>
          <w:b/>
          <w:bCs/>
        </w:rPr>
        <w:t xml:space="preserve">Data Transfers:</w:t>
      </w:r>
      <w:r>
        <w:t xml:space="preserve"> </w:t>
      </w:r>
      <w:r>
        <w:t xml:space="preserve">If transferring data outside the EEA, ensure appropriate safeguards are in place (e.g., Standard Contractual Clauses).</w:t>
      </w:r>
    </w:p>
    <w:p>
      <w:pPr>
        <w:pStyle w:val="Compact"/>
        <w:numPr>
          <w:ilvl w:val="0"/>
          <w:numId w:val="1001"/>
        </w:numPr>
      </w:pPr>
      <w:r>
        <w:rPr>
          <w:b/>
          <w:bCs/>
        </w:rPr>
        <w:t xml:space="preserve">CCPA (California Consumer Privacy Act) and other state privacy laws:</w:t>
      </w:r>
      <w:r>
        <w:t xml:space="preserve"> </w:t>
      </w:r>
      <w:r>
        <w:t xml:space="preserve">Similar principles to GDPR apply, focusing on consumer data rights and transparency. If processing California residents’ data, CCPA compliance is crucial.</w:t>
      </w:r>
    </w:p>
    <w:p>
      <w:pPr>
        <w:pStyle w:val="Compact"/>
        <w:numPr>
          <w:ilvl w:val="0"/>
          <w:numId w:val="1001"/>
        </w:numPr>
      </w:pPr>
      <w:r>
        <w:rPr>
          <w:b/>
          <w:bCs/>
        </w:rPr>
        <w:t xml:space="preserve">HIPAA (Health Insurance Portability and Accountability Act):</w:t>
      </w:r>
      <w:r>
        <w:t xml:space="preserve"> </w:t>
      </w:r>
      <w:r>
        <w:t xml:space="preserve">If the RGA handles protected health information (PHI), strict HIPAA compliance is mandatory, including data encryption, access controls, audit trails, and Business Associate Agreements (BAAs) with any third-party vendors.</w:t>
      </w:r>
    </w:p>
    <w:p>
      <w:pPr>
        <w:pStyle w:val="FirstParagraph"/>
      </w:pPr>
      <w:r>
        <w:rPr>
          <w:b/>
          <w:bCs/>
        </w:rPr>
        <w:t xml:space="preserve">II. Industry-Specific Compliance:</w:t>
      </w:r>
    </w:p>
    <w:p>
      <w:pPr>
        <w:pStyle w:val="Compact"/>
        <w:numPr>
          <w:ilvl w:val="0"/>
          <w:numId w:val="1003"/>
        </w:numPr>
      </w:pPr>
      <w:r>
        <w:rPr>
          <w:b/>
          <w:bCs/>
        </w:rPr>
        <w:t xml:space="preserve">Financial Services:</w:t>
      </w:r>
      <w:r>
        <w:t xml:space="preserve"> </w:t>
      </w:r>
      <w:r>
        <w:t xml:space="preserve">If used in financial services, RGA must comply with relevant regulations like SOX (Sarbanes-Oxley Act), which mandates robust internal controls and audit trails. Data security and confidentiality are paramount.</w:t>
      </w:r>
    </w:p>
    <w:p>
      <w:pPr>
        <w:pStyle w:val="Compact"/>
        <w:numPr>
          <w:ilvl w:val="0"/>
          <w:numId w:val="1003"/>
        </w:numPr>
      </w:pPr>
      <w:r>
        <w:rPr>
          <w:b/>
          <w:bCs/>
        </w:rPr>
        <w:t xml:space="preserve">Healthcare:</w:t>
      </w:r>
      <w:r>
        <w:t xml:space="preserve"> </w:t>
      </w:r>
      <w:r>
        <w:t xml:space="preserve">As mentioned above, HIPAA compliance is essential if handling PHI.</w:t>
      </w:r>
    </w:p>
    <w:p>
      <w:pPr>
        <w:pStyle w:val="Compact"/>
        <w:numPr>
          <w:ilvl w:val="0"/>
          <w:numId w:val="1003"/>
        </w:numPr>
      </w:pPr>
      <w:r>
        <w:rPr>
          <w:b/>
          <w:bCs/>
        </w:rPr>
        <w:t xml:space="preserve">Other Industries:</w:t>
      </w:r>
      <w:r>
        <w:t xml:space="preserve"> </w:t>
      </w:r>
      <w:r>
        <w:t xml:space="preserve">Depending on the target industries, other regulations may apply (e.g., industry-specific data security standards, privacy regulations).</w:t>
      </w:r>
    </w:p>
    <w:p>
      <w:pPr>
        <w:pStyle w:val="FirstParagraph"/>
      </w:pPr>
      <w:r>
        <w:rPr>
          <w:b/>
          <w:bCs/>
        </w:rPr>
        <w:t xml:space="preserve">III. Security and Audit Requirements:</w:t>
      </w:r>
    </w:p>
    <w:p>
      <w:pPr>
        <w:pStyle w:val="Compact"/>
        <w:numPr>
          <w:ilvl w:val="0"/>
          <w:numId w:val="1004"/>
        </w:numPr>
      </w:pPr>
      <w:r>
        <w:rPr>
          <w:b/>
          <w:bCs/>
        </w:rPr>
        <w:t xml:space="preserve">API Security:</w:t>
      </w:r>
      <w:r>
        <w:t xml:space="preserve"> </w:t>
      </w:r>
      <w:r>
        <w:t xml:space="preserve">Securely manage API keys for all AI providers. Avoid hardcoding keys; use environment variables or secure configuration management. Implement robust authentication and authorization mechanisms.</w:t>
      </w:r>
    </w:p>
    <w:p>
      <w:pPr>
        <w:pStyle w:val="Compact"/>
        <w:numPr>
          <w:ilvl w:val="0"/>
          <w:numId w:val="1004"/>
        </w:numPr>
      </w:pPr>
      <w:r>
        <w:rPr>
          <w:b/>
          <w:bCs/>
        </w:rPr>
        <w:t xml:space="preserve">Data Security:</w:t>
      </w:r>
      <w:r>
        <w:t xml:space="preserve"> </w:t>
      </w:r>
      <w:r>
        <w:t xml:space="preserve">Encrypt data at rest and in transit. Regularly update software and dependencies to patch vulnerabilities.</w:t>
      </w:r>
    </w:p>
    <w:p>
      <w:pPr>
        <w:pStyle w:val="Compact"/>
        <w:numPr>
          <w:ilvl w:val="0"/>
          <w:numId w:val="1004"/>
        </w:numPr>
      </w:pPr>
      <w:r>
        <w:rPr>
          <w:b/>
          <w:bCs/>
        </w:rPr>
        <w:t xml:space="preserve">Access Control:</w:t>
      </w:r>
      <w:r>
        <w:t xml:space="preserve"> </w:t>
      </w:r>
      <w:r>
        <w:t xml:space="preserve">Implement role-based access control (RBAC) to restrict access to sensitive data and functionalities.</w:t>
      </w:r>
    </w:p>
    <w:p>
      <w:pPr>
        <w:pStyle w:val="Compact"/>
        <w:numPr>
          <w:ilvl w:val="0"/>
          <w:numId w:val="1004"/>
        </w:numPr>
      </w:pPr>
      <w:r>
        <w:rPr>
          <w:b/>
          <w:bCs/>
        </w:rPr>
        <w:t xml:space="preserve">Auditing:</w:t>
      </w:r>
      <w:r>
        <w:t xml:space="preserve"> </w:t>
      </w:r>
      <w:r>
        <w:t xml:space="preserve">Maintain detailed audit logs of all data access, modifications, and system events. This is crucial for compliance with regulations like SOX and for security incident response.</w:t>
      </w:r>
    </w:p>
    <w:p>
      <w:pPr>
        <w:pStyle w:val="Compact"/>
        <w:numPr>
          <w:ilvl w:val="0"/>
          <w:numId w:val="1004"/>
        </w:numPr>
      </w:pPr>
      <w:r>
        <w:rPr>
          <w:b/>
          <w:bCs/>
        </w:rPr>
        <w:t xml:space="preserve">Vulnerability Management:</w:t>
      </w:r>
      <w:r>
        <w:t xml:space="preserve"> </w:t>
      </w:r>
      <w:r>
        <w:t xml:space="preserve">Implement a vulnerability scanning and penetration testing program to identify and address security weaknesses.</w:t>
      </w:r>
    </w:p>
    <w:p>
      <w:pPr>
        <w:pStyle w:val="FirstParagraph"/>
      </w:pPr>
      <w:r>
        <w:rPr>
          <w:b/>
          <w:bCs/>
        </w:rPr>
        <w:t xml:space="preserve">IV. Documentation and Reporting Obligations:</w:t>
      </w:r>
    </w:p>
    <w:p>
      <w:pPr>
        <w:pStyle w:val="Compact"/>
        <w:numPr>
          <w:ilvl w:val="0"/>
          <w:numId w:val="1005"/>
        </w:numPr>
      </w:pPr>
      <w:r>
        <w:rPr>
          <w:b/>
          <w:bCs/>
        </w:rPr>
        <w:t xml:space="preserve">Data Processing Records:</w:t>
      </w:r>
      <w:r>
        <w:t xml:space="preserve"> </w:t>
      </w:r>
      <w:r>
        <w:t xml:space="preserve">Maintain detailed records of data processing activities, including data categories, processing purposes, and retention periods (GDPR requirement).</w:t>
      </w:r>
    </w:p>
    <w:p>
      <w:pPr>
        <w:pStyle w:val="Compact"/>
        <w:numPr>
          <w:ilvl w:val="0"/>
          <w:numId w:val="1005"/>
        </w:numPr>
      </w:pPr>
      <w:r>
        <w:rPr>
          <w:b/>
          <w:bCs/>
        </w:rPr>
        <w:t xml:space="preserve">Privacy Policy:</w:t>
      </w:r>
      <w:r>
        <w:t xml:space="preserve"> </w:t>
      </w:r>
      <w:r>
        <w:t xml:space="preserve">A clear and concise privacy policy should be provided to users, outlining data collection, usage, and sharing practices.</w:t>
      </w:r>
    </w:p>
    <w:p>
      <w:pPr>
        <w:pStyle w:val="Compact"/>
        <w:numPr>
          <w:ilvl w:val="0"/>
          <w:numId w:val="1005"/>
        </w:numPr>
      </w:pPr>
      <w:r>
        <w:rPr>
          <w:b/>
          <w:bCs/>
        </w:rPr>
        <w:t xml:space="preserve">Security Incident Response Plan:</w:t>
      </w:r>
      <w:r>
        <w:t xml:space="preserve"> </w:t>
      </w:r>
      <w:r>
        <w:t xml:space="preserve">Develop a plan to handle security breaches, including notification procedures and remediation steps.</w:t>
      </w:r>
    </w:p>
    <w:p>
      <w:pPr>
        <w:pStyle w:val="Compact"/>
        <w:numPr>
          <w:ilvl w:val="0"/>
          <w:numId w:val="1005"/>
        </w:numPr>
      </w:pPr>
      <w:r>
        <w:rPr>
          <w:b/>
          <w:bCs/>
        </w:rPr>
        <w:t xml:space="preserve">Compliance Reports:</w:t>
      </w:r>
      <w:r>
        <w:t xml:space="preserve"> </w:t>
      </w:r>
      <w:r>
        <w:t xml:space="preserve">Regularly generate compliance reports to demonstrate adherence to relevant regulations.</w:t>
      </w:r>
    </w:p>
    <w:p>
      <w:pPr>
        <w:pStyle w:val="FirstParagraph"/>
      </w:pPr>
      <w:r>
        <w:rPr>
          <w:b/>
          <w:bCs/>
        </w:rPr>
        <w:t xml:space="preserve">V. Compliance Implementation Strategies:</w:t>
      </w:r>
    </w:p>
    <w:p>
      <w:pPr>
        <w:pStyle w:val="Compact"/>
        <w:numPr>
          <w:ilvl w:val="0"/>
          <w:numId w:val="1006"/>
        </w:numPr>
      </w:pPr>
      <w:r>
        <w:rPr>
          <w:b/>
          <w:bCs/>
        </w:rPr>
        <w:t xml:space="preserve">Design for Privacy and Security:</w:t>
      </w:r>
      <w:r>
        <w:t xml:space="preserve"> </w:t>
      </w:r>
      <w:r>
        <w:t xml:space="preserve">Integrate security and privacy considerations into the design and development process from the beginning (privacy by design).</w:t>
      </w:r>
    </w:p>
    <w:p>
      <w:pPr>
        <w:pStyle w:val="Compact"/>
        <w:numPr>
          <w:ilvl w:val="0"/>
          <w:numId w:val="1006"/>
        </w:numPr>
      </w:pPr>
      <w:r>
        <w:rPr>
          <w:b/>
          <w:bCs/>
        </w:rPr>
        <w:t xml:space="preserve">Data Protection Impact Assessments (DPIAs):</w:t>
      </w:r>
      <w:r>
        <w:t xml:space="preserve"> </w:t>
      </w:r>
      <w:r>
        <w:t xml:space="preserve">Conduct DPIAs for high-risk data processing activities to identify and mitigate potential risks.</w:t>
      </w:r>
    </w:p>
    <w:p>
      <w:pPr>
        <w:pStyle w:val="Compact"/>
        <w:numPr>
          <w:ilvl w:val="0"/>
          <w:numId w:val="1006"/>
        </w:numPr>
      </w:pPr>
      <w:r>
        <w:rPr>
          <w:b/>
          <w:bCs/>
        </w:rPr>
        <w:t xml:space="preserve">Third-Party Risk Management:</w:t>
      </w:r>
      <w:r>
        <w:t xml:space="preserve"> </w:t>
      </w:r>
      <w:r>
        <w:t xml:space="preserve">Assess the security and privacy practices of any third-party vendors used by the RGA.</w:t>
      </w:r>
    </w:p>
    <w:p>
      <w:pPr>
        <w:pStyle w:val="Compact"/>
        <w:numPr>
          <w:ilvl w:val="0"/>
          <w:numId w:val="1006"/>
        </w:numPr>
      </w:pPr>
      <w:r>
        <w:rPr>
          <w:b/>
          <w:bCs/>
        </w:rPr>
        <w:t xml:space="preserve">Employee Training:</w:t>
      </w:r>
      <w:r>
        <w:t xml:space="preserve"> </w:t>
      </w:r>
      <w:r>
        <w:t xml:space="preserve">Train employees on data protection and security best practices.</w:t>
      </w:r>
    </w:p>
    <w:p>
      <w:pPr>
        <w:pStyle w:val="Compact"/>
        <w:numPr>
          <w:ilvl w:val="0"/>
          <w:numId w:val="1006"/>
        </w:numPr>
      </w:pPr>
      <w:r>
        <w:rPr>
          <w:b/>
          <w:bCs/>
        </w:rPr>
        <w:t xml:space="preserve">Regular Audits:</w:t>
      </w:r>
      <w:r>
        <w:t xml:space="preserve"> </w:t>
      </w:r>
      <w:r>
        <w:t xml:space="preserve">Conduct regular internal and external audits to ensure ongoing compliance.</w:t>
      </w:r>
    </w:p>
    <w:p>
      <w:pPr>
        <w:pStyle w:val="FirstParagraph"/>
      </w:pPr>
      <w:r>
        <w:rPr>
          <w:b/>
          <w:bCs/>
        </w:rPr>
        <w:t xml:space="preserve">VI. Ongoing Monitoring and Maintenance:</w:t>
      </w:r>
    </w:p>
    <w:p>
      <w:pPr>
        <w:pStyle w:val="Compact"/>
        <w:numPr>
          <w:ilvl w:val="0"/>
          <w:numId w:val="1007"/>
        </w:numPr>
      </w:pPr>
      <w:r>
        <w:rPr>
          <w:b/>
          <w:bCs/>
        </w:rPr>
        <w:t xml:space="preserve">Security Updates:</w:t>
      </w:r>
      <w:r>
        <w:t xml:space="preserve"> </w:t>
      </w:r>
      <w:r>
        <w:t xml:space="preserve">Continuously monitor for and apply security updates to the RGA and its dependencies.</w:t>
      </w:r>
    </w:p>
    <w:p>
      <w:pPr>
        <w:pStyle w:val="Compact"/>
        <w:numPr>
          <w:ilvl w:val="0"/>
          <w:numId w:val="1007"/>
        </w:numPr>
      </w:pPr>
      <w:r>
        <w:rPr>
          <w:b/>
          <w:bCs/>
        </w:rPr>
        <w:t xml:space="preserve">Compliance Updates:</w:t>
      </w:r>
      <w:r>
        <w:t xml:space="preserve"> </w:t>
      </w:r>
      <w:r>
        <w:t xml:space="preserve">Stay informed about changes in relevant regulations and update the RGA accordingly.</w:t>
      </w:r>
    </w:p>
    <w:p>
      <w:pPr>
        <w:pStyle w:val="Compact"/>
        <w:numPr>
          <w:ilvl w:val="0"/>
          <w:numId w:val="1007"/>
        </w:numPr>
      </w:pPr>
      <w:r>
        <w:rPr>
          <w:b/>
          <w:bCs/>
        </w:rPr>
        <w:t xml:space="preserve">Incident Response:</w:t>
      </w:r>
      <w:r>
        <w:t xml:space="preserve"> </w:t>
      </w:r>
      <w:r>
        <w:t xml:space="preserve">Maintain a proactive incident response plan and regularly test its effectiveness.</w:t>
      </w:r>
    </w:p>
    <w:p>
      <w:pPr>
        <w:pStyle w:val="FirstParagraph"/>
      </w:pPr>
      <w:r>
        <w:rPr>
          <w:b/>
          <w:bCs/>
        </w:rPr>
        <w:t xml:space="preserve">VII. Cost and Resource Implications:</w:t>
      </w:r>
    </w:p>
    <w:p>
      <w:pPr>
        <w:pStyle w:val="Compact"/>
        <w:numPr>
          <w:ilvl w:val="0"/>
          <w:numId w:val="1008"/>
        </w:numPr>
      </w:pPr>
      <w:r>
        <w:rPr>
          <w:b/>
          <w:bCs/>
        </w:rPr>
        <w:t xml:space="preserve">Compliance Costs:</w:t>
      </w:r>
      <w:r>
        <w:t xml:space="preserve"> </w:t>
      </w:r>
      <w:r>
        <w:t xml:space="preserve">Factor in the costs of implementing and maintaining compliance measures (e.g., security tools, employee training, audits).</w:t>
      </w:r>
    </w:p>
    <w:p>
      <w:pPr>
        <w:pStyle w:val="Compact"/>
        <w:numPr>
          <w:ilvl w:val="0"/>
          <w:numId w:val="1008"/>
        </w:numPr>
      </w:pPr>
      <w:r>
        <w:rPr>
          <w:b/>
          <w:bCs/>
        </w:rPr>
        <w:t xml:space="preserve">Resource Allocation:</w:t>
      </w:r>
      <w:r>
        <w:t xml:space="preserve"> </w:t>
      </w:r>
      <w:r>
        <w:t xml:space="preserve">Allocate sufficient resources (personnel, time, budget) to address compliance requirements.</w:t>
      </w:r>
    </w:p>
    <w:p>
      <w:pPr>
        <w:pStyle w:val="FirstParagraph"/>
      </w:pPr>
      <w:r>
        <w:rPr>
          <w:b/>
          <w:bCs/>
        </w:rPr>
        <w:t xml:space="preserve">Actionable Steps:</w:t>
      </w:r>
    </w:p>
    <w:p>
      <w:pPr>
        <w:pStyle w:val="Compact"/>
        <w:numPr>
          <w:ilvl w:val="0"/>
          <w:numId w:val="1009"/>
        </w:numPr>
      </w:pPr>
      <w:r>
        <w:rPr>
          <w:b/>
          <w:bCs/>
        </w:rPr>
        <w:t xml:space="preserve">Conduct a thorough risk assessment:</w:t>
      </w:r>
      <w:r>
        <w:t xml:space="preserve"> </w:t>
      </w:r>
      <w:r>
        <w:t xml:space="preserve">Identify specific risks related to data processing, security, and compliance.</w:t>
      </w:r>
    </w:p>
    <w:p>
      <w:pPr>
        <w:pStyle w:val="Compact"/>
        <w:numPr>
          <w:ilvl w:val="0"/>
          <w:numId w:val="1009"/>
        </w:numPr>
      </w:pPr>
      <w:r>
        <w:rPr>
          <w:b/>
          <w:bCs/>
        </w:rPr>
        <w:t xml:space="preserve">Develop a comprehensive compliance plan:</w:t>
      </w:r>
      <w:r>
        <w:t xml:space="preserve"> </w:t>
      </w:r>
      <w:r>
        <w:t xml:space="preserve">Outline specific steps to address identified risks.</w:t>
      </w:r>
    </w:p>
    <w:p>
      <w:pPr>
        <w:pStyle w:val="Compact"/>
        <w:numPr>
          <w:ilvl w:val="0"/>
          <w:numId w:val="1009"/>
        </w:numPr>
      </w:pPr>
      <w:r>
        <w:rPr>
          <w:b/>
          <w:bCs/>
        </w:rPr>
        <w:t xml:space="preserve">Implement appropriate security measures:</w:t>
      </w:r>
      <w:r>
        <w:t xml:space="preserve"> </w:t>
      </w:r>
      <w:r>
        <w:t xml:space="preserve">Securely manage API keys, encrypt data, and implement access controls.</w:t>
      </w:r>
    </w:p>
    <w:p>
      <w:pPr>
        <w:pStyle w:val="Compact"/>
        <w:numPr>
          <w:ilvl w:val="0"/>
          <w:numId w:val="1009"/>
        </w:numPr>
      </w:pPr>
      <w:r>
        <w:rPr>
          <w:b/>
          <w:bCs/>
        </w:rPr>
        <w:t xml:space="preserve">Document data processing activities:</w:t>
      </w:r>
      <w:r>
        <w:t xml:space="preserve"> </w:t>
      </w:r>
      <w:r>
        <w:t xml:space="preserve">Maintain records of data processing activities and data retention policies.</w:t>
      </w:r>
    </w:p>
    <w:p>
      <w:pPr>
        <w:pStyle w:val="Compact"/>
        <w:numPr>
          <w:ilvl w:val="0"/>
          <w:numId w:val="1009"/>
        </w:numPr>
      </w:pPr>
      <w:r>
        <w:rPr>
          <w:b/>
          <w:bCs/>
        </w:rPr>
        <w:t xml:space="preserve">Develop a privacy policy:</w:t>
      </w:r>
      <w:r>
        <w:t xml:space="preserve"> </w:t>
      </w:r>
      <w:r>
        <w:t xml:space="preserve">Clearly communicate data handling practices to users.</w:t>
      </w:r>
    </w:p>
    <w:p>
      <w:pPr>
        <w:pStyle w:val="Compact"/>
        <w:numPr>
          <w:ilvl w:val="0"/>
          <w:numId w:val="1009"/>
        </w:numPr>
      </w:pPr>
      <w:r>
        <w:rPr>
          <w:b/>
          <w:bCs/>
        </w:rPr>
        <w:t xml:space="preserve">Establish incident response procedures:</w:t>
      </w:r>
      <w:r>
        <w:t xml:space="preserve"> </w:t>
      </w:r>
      <w:r>
        <w:t xml:space="preserve">Plan for handling security incidents.</w:t>
      </w:r>
    </w:p>
    <w:p>
      <w:pPr>
        <w:pStyle w:val="Compact"/>
        <w:numPr>
          <w:ilvl w:val="0"/>
          <w:numId w:val="1009"/>
        </w:numPr>
      </w:pPr>
      <w:r>
        <w:rPr>
          <w:b/>
          <w:bCs/>
        </w:rPr>
        <w:t xml:space="preserve">Regularly monitor and update compliance measures:</w:t>
      </w:r>
      <w:r>
        <w:t xml:space="preserve"> </w:t>
      </w:r>
      <w:r>
        <w:t xml:space="preserve">Ensure ongoing adherence to regulations.</w:t>
      </w:r>
    </w:p>
    <w:p>
      <w:pPr>
        <w:pStyle w:val="FirstParagraph"/>
      </w:pPr>
      <w:r>
        <w:t xml:space="preserve">This compliance analysis provides a starting point. A more detailed assessment might be required depending on the specific use cases and target industries of the RGA. Legal counsel should be consulted to ensure full compliance with all applicable regulations.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2025-06-10T04:50:16Z</dcterms:created>
  <dcterms:modified xsi:type="dcterms:W3CDTF">2025-06-10T04:50:16Z</dcterms:modified>
</cp:coreProperties>
</file>

<file path=docProps/custom.xml><?xml version="1.0" encoding="utf-8"?>
<Properties xmlns="http://schemas.openxmlformats.org/officeDocument/2006/custom-properties" xmlns:vt="http://schemas.openxmlformats.org/officeDocument/2006/docPropsVTypes"/>
</file>