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color w:val="000000"/>
        </w:rPr>
      </w:pPr>
      <w:r>
        <w:rPr>
          <w:color w:val="000000"/>
        </w:rPr>
        <w:t>Rapport de correction – Retour de lecture</w:t>
      </w:r>
    </w:p>
    <w:p>
      <w:pPr>
        <w:pStyle w:val="Heading1"/>
        <w:rPr>
          <w:color w:val="000000"/>
        </w:rPr>
      </w:pPr>
      <w:r>
        <w:rPr>
          <w:color w:val="000000"/>
        </w:rPr>
        <w:t>Introduction</w:t>
      </w:r>
    </w:p>
    <w:p>
      <w:pPr>
        <w:pStyle w:val="Normal"/>
        <w:rPr>
          <w:color w:val="000000"/>
        </w:rPr>
      </w:pPr>
      <w:r>
        <w:rPr>
          <w:color w:val="000000"/>
        </w:rPr>
        <w:t>Le rapport est solide et bien construit, mais nécessite plusieurs améliorations pour gagner en clarté, rigueur scientifique et reproductibilité.</w:t>
      </w:r>
    </w:p>
    <w:p>
      <w:pPr>
        <w:pStyle w:val="Normal"/>
        <w:rPr>
          <w:color w:val="000000"/>
        </w:rPr>
      </w:pPr>
      <w:r>
        <w:rPr>
          <w:color w:val="000000"/>
        </w:rPr>
        <w:t>15/20</w:t>
      </w:r>
    </w:p>
    <w:p>
      <w:pPr>
        <w:pStyle w:val="Heading1"/>
        <w:rPr>
          <w:color w:val="000000"/>
        </w:rPr>
      </w:pPr>
      <w:r>
        <w:rPr>
          <w:color w:val="000000"/>
        </w:rPr>
        <w:t>Points positifs</w:t>
      </w:r>
    </w:p>
    <w:p>
      <w:pPr>
        <w:pStyle w:val="ListBullet"/>
        <w:numPr>
          <w:ilvl w:val="0"/>
          <w:numId w:val="1"/>
        </w:numPr>
        <w:rPr>
          <w:color w:val="000000"/>
        </w:rPr>
      </w:pPr>
      <w:r>
        <w:rPr>
          <w:color w:val="000000"/>
        </w:rPr>
        <w:t>Modélisation ambitieuse et correctement menée (LCT, Erlang/Gamma, équivalences NB).</w:t>
      </w:r>
    </w:p>
    <w:p>
      <w:pPr>
        <w:pStyle w:val="ListBullet"/>
        <w:numPr>
          <w:ilvl w:val="0"/>
          <w:numId w:val="1"/>
        </w:numPr>
        <w:rPr>
          <w:color w:val="000000"/>
        </w:rPr>
      </w:pPr>
      <w:r>
        <w:rPr>
          <w:color w:val="000000"/>
        </w:rPr>
        <w:t>Bon équilibre entre rigueur mathématique et interprétation biologique.</w:t>
      </w:r>
    </w:p>
    <w:p>
      <w:pPr>
        <w:pStyle w:val="ListBullet"/>
        <w:numPr>
          <w:ilvl w:val="0"/>
          <w:numId w:val="1"/>
        </w:numPr>
        <w:rPr>
          <w:color w:val="000000"/>
        </w:rPr>
      </w:pPr>
      <w:r>
        <w:rPr>
          <w:color w:val="000000"/>
        </w:rPr>
        <w:t>Revue bibliographique pertinente, notamment la conversion Weibull → Gamma.</w:t>
      </w:r>
    </w:p>
    <w:p>
      <w:pPr>
        <w:pStyle w:val="ListBullet"/>
        <w:numPr>
          <w:ilvl w:val="0"/>
          <w:numId w:val="1"/>
        </w:numPr>
        <w:rPr>
          <w:color w:val="000000"/>
        </w:rPr>
      </w:pPr>
      <w:r>
        <w:rPr>
          <w:color w:val="000000"/>
        </w:rPr>
        <w:t>Figures nombreuses et informatives.</w:t>
      </w:r>
    </w:p>
    <w:p>
      <w:pPr>
        <w:pStyle w:val="ListBullet"/>
        <w:numPr>
          <w:ilvl w:val="0"/>
          <w:numId w:val="1"/>
        </w:numPr>
        <w:rPr>
          <w:color w:val="000000"/>
        </w:rPr>
      </w:pPr>
      <w:r>
        <w:rPr>
          <w:color w:val="000000"/>
        </w:rPr>
        <w:t>Capacité à tirer des conclusions nuancées et utiles pour la biologie appliquée.</w:t>
      </w:r>
    </w:p>
    <w:p>
      <w:pPr>
        <w:pStyle w:val="Heading1"/>
        <w:rPr>
          <w:color w:val="000000"/>
        </w:rPr>
      </w:pPr>
      <w:r>
        <w:rPr>
          <w:color w:val="000000"/>
        </w:rPr>
        <w:t>Axes d’amélioration</w:t>
      </w:r>
    </w:p>
    <w:p>
      <w:pPr>
        <w:pStyle w:val="Heading2"/>
        <w:rPr>
          <w:color w:val="000000"/>
        </w:rPr>
      </w:pPr>
      <w:r>
        <w:rPr>
          <w:color w:val="000000"/>
        </w:rPr>
        <w:t>1. Clarté scientifique et précision</w:t>
      </w:r>
    </w:p>
    <w:p>
      <w:pPr>
        <w:pStyle w:val="ListNumber"/>
        <w:numPr>
          <w:ilvl w:val="0"/>
          <w:numId w:val="4"/>
        </w:numPr>
        <w:rPr>
          <w:color w:val="000000"/>
        </w:rPr>
      </w:pPr>
      <w:r>
        <w:rPr>
          <w:color w:val="000000"/>
        </w:rPr>
        <w:t>Créer un tableau des notations regroupant tous les paramètres (r, ρ, m, n, θ, δ, τ) avec unités.</w:t>
      </w:r>
    </w:p>
    <w:p>
      <w:pPr>
        <w:pStyle w:val="ListNumber"/>
        <w:numPr>
          <w:ilvl w:val="0"/>
          <w:numId w:val="4"/>
        </w:numPr>
        <w:rPr>
          <w:color w:val="000000"/>
        </w:rPr>
      </w:pPr>
      <w:r>
        <w:rPr>
          <w:color w:val="000000"/>
        </w:rPr>
        <w:t>Définir clairement le paramètre RatioT dès la première utilisation, et uniformiser l’orthographe.</w:t>
      </w:r>
    </w:p>
    <w:p>
      <w:pPr>
        <w:pStyle w:val="ListNumber"/>
        <w:numPr>
          <w:ilvl w:val="0"/>
          <w:numId w:val="4"/>
        </w:numPr>
        <w:rPr>
          <w:color w:val="000000"/>
        </w:rPr>
      </w:pPr>
      <w:r>
        <w:rPr>
          <w:color w:val="000000"/>
        </w:rPr>
        <w:t>Lors de l’introduction des probabilités de survie (fX), préciser pour quel stade et rappeler que 0&lt;fX&lt;1.</w:t>
      </w:r>
    </w:p>
    <w:p>
      <w:pPr>
        <w:pStyle w:val="ListNumber"/>
        <w:numPr>
          <w:ilvl w:val="0"/>
          <w:numId w:val="4"/>
        </w:numPr>
        <w:rPr>
          <w:color w:val="000000"/>
        </w:rPr>
      </w:pPr>
      <w:r>
        <w:rPr>
          <w:color w:val="000000"/>
        </w:rPr>
        <w:t>Rendre explicite la correspondance entre variabilité temporelle (n) et pseudo-interférence spatiale (k), en ajoutant le lien k = n/τ.</w:t>
      </w:r>
    </w:p>
    <w:p>
      <w:pPr>
        <w:pStyle w:val="ListNumber"/>
        <w:numPr>
          <w:ilvl w:val="0"/>
          <w:numId w:val="4"/>
        </w:numPr>
        <w:rPr>
          <w:color w:val="000000"/>
        </w:rPr>
      </w:pPr>
      <w:r>
        <w:rPr>
          <w:color w:val="000000"/>
        </w:rPr>
        <w:t>Préciser l’équation caractéristique utilisée pour déterminer la stabilité et décrire la méthode numérique (logiciel, tolérance).</w:t>
      </w:r>
    </w:p>
    <w:p>
      <w:pPr>
        <w:pStyle w:val="Heading2"/>
        <w:rPr>
          <w:color w:val="000000"/>
        </w:rPr>
      </w:pPr>
      <w:r>
        <w:rPr>
          <w:color w:val="000000"/>
        </w:rPr>
        <w:t>2. Cohérence mathématique et formules</w:t>
      </w:r>
    </w:p>
    <w:p>
      <w:pPr>
        <w:pStyle w:val="ListNumber"/>
        <w:numPr>
          <w:ilvl w:val="0"/>
          <w:numId w:val="4"/>
        </w:numPr>
        <w:rPr>
          <w:color w:val="000000"/>
        </w:rPr>
      </w:pPr>
      <w:r>
        <w:rPr>
          <w:color w:val="000000"/>
        </w:rPr>
        <w:t>Uniformiser l’usage des symboles (r parfois comme fécondité instantanée, ailleurs dans ρ=r/δ).</w:t>
      </w:r>
    </w:p>
    <w:p>
      <w:pPr>
        <w:pStyle w:val="ListNumber"/>
        <w:numPr>
          <w:ilvl w:val="0"/>
          <w:numId w:val="4"/>
        </w:numPr>
        <w:rPr>
          <w:color w:val="000000"/>
        </w:rPr>
      </w:pPr>
      <w:r>
        <w:rPr>
          <w:color w:val="000000"/>
        </w:rPr>
        <w:t>Corriger des formulations approximatives : remplacer « esperance » par « mean (expected value) ».</w:t>
      </w:r>
    </w:p>
    <w:p>
      <w:pPr>
        <w:pStyle w:val="ListNumber"/>
        <w:numPr>
          <w:ilvl w:val="0"/>
          <w:numId w:val="4"/>
        </w:numPr>
        <w:rPr>
          <w:color w:val="000000"/>
        </w:rPr>
      </w:pPr>
      <w:r>
        <w:rPr>
          <w:color w:val="000000"/>
        </w:rPr>
        <w:t>Insister sur la relation CV = 1/√n et ses implications pour la concentration des temps de développement.</w:t>
      </w:r>
    </w:p>
    <w:p>
      <w:pPr>
        <w:pStyle w:val="Heading2"/>
        <w:rPr>
          <w:color w:val="000000"/>
        </w:rPr>
      </w:pPr>
      <w:r>
        <w:rPr>
          <w:color w:val="000000"/>
        </w:rPr>
        <w:t>3. Présentation des résultats</w:t>
      </w:r>
    </w:p>
    <w:p>
      <w:pPr>
        <w:pStyle w:val="ListNumber"/>
        <w:numPr>
          <w:ilvl w:val="0"/>
          <w:numId w:val="4"/>
        </w:numPr>
        <w:rPr>
          <w:color w:val="000000"/>
        </w:rPr>
      </w:pPr>
      <w:r>
        <w:rPr>
          <w:color w:val="000000"/>
        </w:rPr>
        <w:t>Enrichir les légendes des figures en indiquant les paramètres utilisés.</w:t>
      </w:r>
    </w:p>
    <w:p>
      <w:pPr>
        <w:pStyle w:val="ListNumber"/>
        <w:numPr>
          <w:ilvl w:val="0"/>
          <w:numId w:val="4"/>
        </w:numPr>
        <w:rPr>
          <w:color w:val="000000"/>
        </w:rPr>
      </w:pPr>
      <w:r>
        <w:rPr>
          <w:color w:val="000000"/>
        </w:rPr>
        <w:t>Expliciter dans les diagrammes la signification des courbes (racines caractéristiques, frontières de stabilité).</w:t>
      </w:r>
    </w:p>
    <w:p>
      <w:pPr>
        <w:pStyle w:val="ListNumber"/>
        <w:numPr>
          <w:ilvl w:val="0"/>
          <w:numId w:val="4"/>
        </w:numPr>
        <w:rPr>
          <w:color w:val="000000"/>
        </w:rPr>
      </w:pPr>
      <w:r>
        <w:rPr>
          <w:color w:val="000000"/>
        </w:rPr>
        <w:t>Mini-revue Weibull → Gamma : rassembler les résultats dans un tableau (espèce, stade, paramètres Weibull, Gamma ajustés, CV, n).</w:t>
      </w:r>
    </w:p>
    <w:p>
      <w:pPr>
        <w:pStyle w:val="ListNumber"/>
        <w:numPr>
          <w:ilvl w:val="0"/>
          <w:numId w:val="4"/>
        </w:numPr>
        <w:rPr>
          <w:color w:val="000000"/>
        </w:rPr>
      </w:pPr>
      <w:r>
        <w:rPr>
          <w:color w:val="000000"/>
        </w:rPr>
        <w:t>Fournir des intervalles de confiance pour les ajustements (bootstrap).</w:t>
      </w:r>
    </w:p>
    <w:p>
      <w:pPr>
        <w:pStyle w:val="ListNumber"/>
        <w:numPr>
          <w:ilvl w:val="0"/>
          <w:numId w:val="4"/>
        </w:numPr>
        <w:rPr>
          <w:color w:val="000000"/>
        </w:rPr>
      </w:pPr>
      <w:r>
        <w:rPr>
          <w:color w:val="000000"/>
        </w:rPr>
        <w:t>Expliquer davantage l’impact du paramètre de shift τ sur les estimations.</w:t>
      </w:r>
    </w:p>
    <w:p>
      <w:pPr>
        <w:pStyle w:val="Heading2"/>
        <w:rPr>
          <w:color w:val="000000"/>
        </w:rPr>
      </w:pPr>
      <w:r>
        <w:rPr>
          <w:color w:val="000000"/>
        </w:rPr>
        <w:t>4. Reproductibilité et rigueur</w:t>
      </w:r>
    </w:p>
    <w:p>
      <w:pPr>
        <w:pStyle w:val="ListNumber"/>
        <w:numPr>
          <w:ilvl w:val="0"/>
          <w:numId w:val="4"/>
        </w:numPr>
        <w:rPr>
          <w:color w:val="000000"/>
        </w:rPr>
      </w:pPr>
      <w:r>
        <w:rPr>
          <w:color w:val="000000"/>
        </w:rPr>
        <w:t>Inclure le hash Git précis ou DOI Zenodo.</w:t>
      </w:r>
    </w:p>
    <w:p>
      <w:pPr>
        <w:pStyle w:val="ListNumber"/>
        <w:numPr>
          <w:ilvl w:val="0"/>
          <w:numId w:val="4"/>
        </w:numPr>
        <w:rPr>
          <w:color w:val="000000"/>
        </w:rPr>
      </w:pPr>
      <w:r>
        <w:rPr>
          <w:color w:val="000000"/>
        </w:rPr>
        <w:t>Fournir un fichier requirements.txt ou environment.yml pour l’environnement Python.</w:t>
      </w:r>
    </w:p>
    <w:p>
      <w:pPr>
        <w:pStyle w:val="ListNumber"/>
        <w:numPr>
          <w:ilvl w:val="0"/>
          <w:numId w:val="4"/>
        </w:numPr>
        <w:rPr>
          <w:color w:val="000000"/>
        </w:rPr>
      </w:pPr>
      <w:r>
        <w:rPr>
          <w:color w:val="000000"/>
        </w:rPr>
        <w:t>Fixer les graines aléatoires dans les simulations.</w:t>
      </w:r>
    </w:p>
    <w:p>
      <w:pPr>
        <w:pStyle w:val="ListNumber"/>
        <w:numPr>
          <w:ilvl w:val="0"/>
          <w:numId w:val="4"/>
        </w:numPr>
        <w:rPr>
          <w:color w:val="000000"/>
        </w:rPr>
      </w:pPr>
      <w:r>
        <w:rPr>
          <w:color w:val="000000"/>
        </w:rPr>
        <w:t>Mettre à disposition un notebook permettant de recréer les figures clés.</w:t>
      </w:r>
    </w:p>
    <w:p>
      <w:pPr>
        <w:pStyle w:val="Heading2"/>
        <w:rPr>
          <w:color w:val="000000"/>
        </w:rPr>
      </w:pPr>
      <w:r>
        <w:rPr>
          <w:color w:val="000000"/>
        </w:rPr>
        <w:t>5. Langue, orthographe et style</w:t>
      </w:r>
    </w:p>
    <w:p>
      <w:pPr>
        <w:pStyle w:val="ListNumber"/>
        <w:numPr>
          <w:ilvl w:val="0"/>
          <w:numId w:val="4"/>
        </w:numPr>
        <w:rPr>
          <w:color w:val="000000"/>
        </w:rPr>
      </w:pPr>
      <w:r>
        <w:rPr>
          <w:color w:val="000000"/>
        </w:rPr>
        <w:t>Corriger fautes récurrentes : « per-capital » → « per-capita », « esperance » → « mean », « sharpe » → « sharp ».</w:t>
      </w:r>
    </w:p>
    <w:p>
      <w:pPr>
        <w:pStyle w:val="ListNumber"/>
        <w:numPr>
          <w:ilvl w:val="0"/>
          <w:numId w:val="4"/>
        </w:numPr>
        <w:rPr>
          <w:color w:val="000000"/>
        </w:rPr>
      </w:pPr>
      <w:r>
        <w:rPr>
          <w:color w:val="000000"/>
        </w:rPr>
        <w:t>Corriger « subcompar-timents » → « subcompartments » et uniformiser les majuscules/minuscules dans RatioT.</w:t>
      </w:r>
    </w:p>
    <w:p>
      <w:pPr>
        <w:pStyle w:val="ListNumber"/>
        <w:numPr>
          <w:ilvl w:val="0"/>
          <w:numId w:val="4"/>
        </w:numPr>
        <w:rPr>
          <w:color w:val="000000"/>
        </w:rPr>
      </w:pPr>
      <w:r>
        <w:rPr>
          <w:color w:val="000000"/>
        </w:rPr>
        <w:t>Alléger certaines phrases traduites littéralement du français pour un anglais plus naturel.</w:t>
      </w:r>
    </w:p>
    <w:p>
      <w:pPr>
        <w:pStyle w:val="Heading1"/>
        <w:rPr>
          <w:color w:val="000000"/>
        </w:rPr>
      </w:pPr>
      <w:r>
        <w:rPr>
          <w:color w:val="000000"/>
        </w:rPr>
        <w:t>Priorités de correction</w:t>
      </w:r>
    </w:p>
    <w:p>
      <w:pPr>
        <w:pStyle w:val="ListBullet"/>
        <w:numPr>
          <w:ilvl w:val="0"/>
          <w:numId w:val="1"/>
        </w:numPr>
        <w:rPr>
          <w:color w:val="000000"/>
        </w:rPr>
      </w:pPr>
      <w:r>
        <w:rPr>
          <w:color w:val="000000"/>
        </w:rPr>
        <w:t>Corriger orthographe et style.</w:t>
      </w:r>
    </w:p>
    <w:p>
      <w:pPr>
        <w:pStyle w:val="ListBullet"/>
        <w:numPr>
          <w:ilvl w:val="0"/>
          <w:numId w:val="1"/>
        </w:numPr>
        <w:rPr>
          <w:color w:val="000000"/>
        </w:rPr>
      </w:pPr>
      <w:r>
        <w:rPr>
          <w:color w:val="000000"/>
        </w:rPr>
        <w:t>Ajouter un tableau des symboles.</w:t>
      </w:r>
    </w:p>
    <w:p>
      <w:pPr>
        <w:pStyle w:val="ListBullet"/>
        <w:numPr>
          <w:ilvl w:val="0"/>
          <w:numId w:val="1"/>
        </w:numPr>
        <w:rPr>
          <w:color w:val="000000"/>
        </w:rPr>
      </w:pPr>
      <w:r>
        <w:rPr>
          <w:color w:val="000000"/>
        </w:rPr>
        <w:t>Clarifier RatioT et le mapping k ↔ n.</w:t>
      </w:r>
    </w:p>
    <w:p>
      <w:pPr>
        <w:pStyle w:val="ListBullet"/>
        <w:numPr>
          <w:ilvl w:val="0"/>
          <w:numId w:val="1"/>
        </w:numPr>
        <w:rPr>
          <w:color w:val="000000"/>
        </w:rPr>
      </w:pPr>
      <w:r>
        <w:rPr>
          <w:color w:val="000000"/>
        </w:rPr>
        <w:t>Enrichir les légendes de figures et expliciter les codes.</w:t>
      </w:r>
    </w:p>
    <w:p>
      <w:pPr>
        <w:pStyle w:val="ListBullet"/>
        <w:numPr>
          <w:ilvl w:val="0"/>
          <w:numId w:val="1"/>
        </w:numPr>
        <w:rPr>
          <w:color w:val="000000"/>
        </w:rPr>
      </w:pPr>
      <w:r>
        <w:rPr>
          <w:color w:val="000000"/>
        </w:rPr>
        <w:t>Décrire la méthode numérique pour la stabilité.</w:t>
      </w:r>
    </w:p>
    <w:p>
      <w:pPr>
        <w:pStyle w:val="ListBullet"/>
        <w:numPr>
          <w:ilvl w:val="0"/>
          <w:numId w:val="1"/>
        </w:numPr>
        <w:rPr>
          <w:color w:val="000000"/>
        </w:rPr>
      </w:pPr>
      <w:r>
        <w:rPr>
          <w:color w:val="000000"/>
        </w:rPr>
        <w:t>Tableau synthétique + IC dans la revue Weibull → Gamma.</w:t>
      </w:r>
    </w:p>
    <w:p>
      <w:pPr>
        <w:pStyle w:val="ListBullet"/>
        <w:numPr>
          <w:ilvl w:val="0"/>
          <w:numId w:val="1"/>
        </w:numPr>
        <w:rPr>
          <w:color w:val="000000"/>
        </w:rPr>
      </w:pPr>
      <w:r>
        <w:rPr>
          <w:color w:val="000000"/>
        </w:rPr>
        <w:t>Rendre le travail reproductible (hash Git, environnement, notebook).</w:t>
      </w:r>
    </w:p>
    <w:p>
      <w:pPr>
        <w:pStyle w:val="Heading1"/>
        <w:rPr>
          <w:color w:val="000000"/>
        </w:rPr>
      </w:pPr>
      <w:r>
        <w:rPr>
          <w:color w:val="000000"/>
        </w:rPr>
        <w:t>Évaluation chiffrée</w:t>
      </w:r>
    </w:p>
    <w:p>
      <w:pPr>
        <w:pStyle w:val="Normal"/>
        <w:rPr>
          <w:color w:val="000000"/>
        </w:rPr>
      </w:pPr>
      <w:r>
        <w:rPr>
          <w:color w:val="000000"/>
        </w:rPr>
        <w:t>Le rapport est globalement très bon, mais souffre de manques formels et de rigueur dans la présentation. Ces points sont facilement corrigeables. Note proposée : 15/20.</w:t>
      </w:r>
    </w:p>
    <w:p>
      <w:pPr>
        <w:pStyle w:val="Heading1"/>
        <w:rPr>
          <w:color w:val="000000"/>
        </w:rPr>
      </w:pPr>
      <w:r>
        <w:rPr>
          <w:color w:val="000000"/>
        </w:rPr>
        <w:t>Conclusion</w:t>
      </w:r>
    </w:p>
    <w:p>
      <w:pPr>
        <w:pStyle w:val="Normal"/>
        <w:rPr>
          <w:color w:val="000000"/>
        </w:rPr>
      </w:pPr>
      <w:r>
        <w:rPr>
          <w:color w:val="000000"/>
        </w:rPr>
        <w:t>Le rapport est solide et original. Les améliorations concernent surtout la lisibilité, la cohérence des notations et la reproductibilité. En corrigeant ces points, le document gagnera en professionnalisme et pourra servir de base pour une diffusion scientifique plus large.</w:t>
      </w:r>
    </w:p>
    <w:p>
      <w:pPr>
        <w:pStyle w:val="Heading1"/>
        <w:rPr>
          <w:color w:val="000000"/>
        </w:rPr>
      </w:pPr>
      <w:r>
        <w:rPr>
          <w:color w:val="000000"/>
        </w:rPr>
        <w:t>Fiche annotée – Commentaires section par section</w:t>
      </w:r>
    </w:p>
    <w:p>
      <w:pPr>
        <w:pStyle w:val="ListBullet"/>
        <w:numPr>
          <w:ilvl w:val="0"/>
          <w:numId w:val="1"/>
        </w:numPr>
        <w:rPr>
          <w:color w:val="000000"/>
        </w:rPr>
      </w:pPr>
      <w:r>
        <w:rPr>
          <w:color w:val="000000"/>
        </w:rPr>
        <w:t>Page 1 (Introduction): Bonne accroche, mais préciser clairement les objectifs et rappeler le contexte biologique dès l’ouverture.</w:t>
      </w:r>
    </w:p>
    <w:p>
      <w:pPr>
        <w:pStyle w:val="ListBullet"/>
        <w:numPr>
          <w:ilvl w:val="0"/>
          <w:numId w:val="1"/>
        </w:numPr>
        <w:rPr>
          <w:color w:val="000000"/>
        </w:rPr>
      </w:pPr>
      <w:r>
        <w:rPr>
          <w:color w:val="000000"/>
        </w:rPr>
        <w:t>Page 3 (Méthodes – LCT): Dérivations correctes, mais détailler davantage les étapes mathématiques pour faciliter la lecture.</w:t>
      </w:r>
    </w:p>
    <w:p>
      <w:pPr>
        <w:pStyle w:val="ListBullet"/>
        <w:numPr>
          <w:ilvl w:val="0"/>
          <w:numId w:val="1"/>
        </w:numPr>
        <w:rPr>
          <w:color w:val="000000"/>
        </w:rPr>
      </w:pPr>
      <w:r>
        <w:rPr>
          <w:color w:val="000000"/>
        </w:rPr>
        <w:t>Page 5 (Résultats – Murdoch 1987 DV): Figures convaincantes. Ajouter les paramètres exacts dans les légendes.</w:t>
      </w:r>
    </w:p>
    <w:p>
      <w:pPr>
        <w:pStyle w:val="ListBullet"/>
        <w:numPr>
          <w:ilvl w:val="0"/>
          <w:numId w:val="1"/>
        </w:numPr>
        <w:rPr>
          <w:color w:val="000000"/>
        </w:rPr>
      </w:pPr>
      <w:r>
        <w:rPr>
          <w:color w:val="000000"/>
        </w:rPr>
        <w:t>Page 7 (Résultats – Godfray &amp; Hassell 1989): Discussion claire, mais rappeler la définition des cycles de génération pour le lecteur non spécialiste.</w:t>
      </w:r>
    </w:p>
    <w:p>
      <w:pPr>
        <w:pStyle w:val="ListBullet"/>
        <w:numPr>
          <w:ilvl w:val="0"/>
          <w:numId w:val="1"/>
        </w:numPr>
        <w:rPr>
          <w:color w:val="000000"/>
        </w:rPr>
      </w:pPr>
      <w:r>
        <w:rPr>
          <w:color w:val="000000"/>
        </w:rPr>
        <w:t>Page 10 (Discussion générale): Très bonne synthèse, mais attention au style anglais (phrases lourdes).</w:t>
      </w:r>
    </w:p>
    <w:p>
      <w:pPr>
        <w:pStyle w:val="ListBullet"/>
        <w:numPr>
          <w:ilvl w:val="0"/>
          <w:numId w:val="1"/>
        </w:numPr>
        <w:spacing w:before="0" w:after="200"/>
        <w:contextualSpacing/>
        <w:rPr>
          <w:color w:val="000000"/>
        </w:rPr>
      </w:pPr>
      <w:r>
        <w:rPr>
          <w:color w:val="000000"/>
        </w:rPr>
        <w:t>Annexe A: Bonne rigueur. Le lien k = n/τ devrait être mis en évidence pour clore la comparaison temporelle/spatiale.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3</Pages>
  <Words>637</Words>
  <Characters>3718</Characters>
  <CharactersWithSpaces>4267</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2025-09-23T14:16:23Z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