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2942"/>
          <w:sz w:val="44"/>
        </w:rPr>
        <w:t>Research Synthesis Report</w:t>
      </w:r>
    </w:p>
    <w:p>
      <w:pPr>
        <w:spacing w:before="0" w:after="320"/>
      </w:pPr>
      <w:r>
        <w:rPr>
          <w:b/>
          <w:color w:val="0284C7"/>
          <w:sz w:val="19"/>
        </w:rPr>
        <w:t xml:space="preserve">PREVIOUS ANSWER EXPORT   |   </w:t>
      </w:r>
      <w:r>
        <w:rPr>
          <w:color w:val="64748B"/>
          <w:sz w:val="19"/>
        </w:rPr>
        <w:t>Date: October 26, 2026</w:t>
      </w:r>
    </w:p>
    <w:p>
      <w:pPr>
        <w:spacing w:before="0" w:after="280"/>
      </w:pPr>
      <w:r>
        <w:rPr>
          <w:i/>
          <w:color w:val="64748B"/>
          <w:sz w:val="20"/>
        </w:rPr>
        <w:t>Scope: Export of conversational research answer (0 citations)</w:t>
      </w:r>
    </w:p>
    <w:p>
      <w:pPr>
        <w:spacing w:before="0" w:after="280"/>
      </w:pPr>
      <w:r>
        <w:rPr>
          <w:color w:val="64748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1. Transformer Models for Text Summarization: A Comparative Study</w:t>
      </w:r>
    </w:p>
    <w:p>
      <w:pPr>
        <w:pStyle w:val="ListBullet"/>
        <w:spacing w:before="20" w:after="60" w:line="276" w:lineRule="auto"/>
      </w:pPr>
      <w:r>
        <w:rPr>
          <w:b/>
        </w:rPr>
        <w:t>Core Problem &amp; Objective</w:t>
      </w:r>
      <w:r>
        <w:t xml:space="preserve">: The paper addresses automatic text summarization (ATS) by providing practical performance and behavior insights into BERT, RoBERTa, and BART under a consistent evaluation setting, rather than proposing a new model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Methodology &amp; Architecture</w:t>
      </w:r>
      <w:r>
        <w:t xml:space="preserve">: The study evaluates three distinct transformer-based architectures. BERT uses a pretrained encoder model adapted for extractive summarization via an added sentence-level classification layer, fine-tuned using cross-entropy loss </w:t>
      </w:r>
      <w:r>
        <w:rPr>
          <w:b/>
          <w:color w:val="0284C7"/>
          <w:sz w:val="19"/>
        </w:rPr>
        <w:t xml:space="preserve"> [5]</w:t>
      </w:r>
      <w:r>
        <w:t xml:space="preserve">. RoBERTa integrates improved pretraining strategies into the BERT framework for extractive summarization using comparable training procedures </w:t>
      </w:r>
      <w:r>
        <w:rPr>
          <w:b/>
          <w:color w:val="0284C7"/>
          <w:sz w:val="19"/>
        </w:rPr>
        <w:t xml:space="preserve"> [5]</w:t>
      </w:r>
      <w:r>
        <w:t xml:space="preserve">. BART is a pretrained sequence-to-sequence denoising autoencoder utilizing an encoder-decoder architecture for abstractive summarization </w:t>
      </w:r>
      <w:r>
        <w:rPr>
          <w:b/>
          <w:color w:val="0284C7"/>
          <w:sz w:val="19"/>
        </w:rPr>
        <w:t xml:space="preserve"> [6]</w:t>
      </w:r>
      <w:r>
        <w:t xml:space="preserve">. Tokenization uses WordPiece for BERT and Byte-Pair Encoding (BPE) for RoBERTa and BART </w:t>
      </w:r>
      <w:r>
        <w:rPr>
          <w:b/>
          <w:color w:val="0284C7"/>
          <w:sz w:val="19"/>
        </w:rPr>
        <w:t xml:space="preserve"> [4]</w:t>
      </w:r>
      <w:r>
        <w:t xml:space="preserve">. Input sequences are padded or truncated to 512 tokens for BERT and RoBERTa, and up to 1024 tokens for BART </w:t>
      </w:r>
      <w:r>
        <w:rPr>
          <w:b/>
          <w:color w:val="0284C7"/>
          <w:sz w:val="19"/>
        </w:rPr>
        <w:t xml:space="preserve"> [4]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Experimental Setup &amp; Datasets</w:t>
      </w:r>
      <w:r>
        <w:t xml:space="preserve">: The models are tested on the CNN/Daily Mail dataset containing news articles and human-written summaries </w:t>
      </w:r>
      <w:r>
        <w:rPr>
          <w:b/>
          <w:color w:val="0284C7"/>
          <w:sz w:val="19"/>
        </w:rPr>
        <w:t xml:space="preserve"> [3]</w:t>
      </w:r>
      <w:r>
        <w:t xml:space="preserve">. Due to hardware CPU limitations, a reduced subset of 15,000 training samples, 2,000 validation samples, and 100 test samples was used </w:t>
      </w:r>
      <w:r>
        <w:rPr>
          <w:b/>
          <w:color w:val="0284C7"/>
          <w:sz w:val="19"/>
        </w:rPr>
        <w:t xml:space="preserve"> [3]</w:t>
      </w:r>
      <w:r>
        <w:t xml:space="preserve">. Evaluation relies on automated ROUGE and BLEU metrics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Key Findings &amp; Reported Metrics</w:t>
      </w:r>
      <w:r>
        <w:t>: The verified evidence does not report specific quantitative ROUGE or BLEU numerical scores for the models.</w:t>
      </w:r>
    </w:p>
    <w:p>
      <w:pPr>
        <w:pStyle w:val="ListBullet"/>
        <w:spacing w:before="20" w:after="60" w:line="276" w:lineRule="auto"/>
      </w:pPr>
      <w:r>
        <w:rPr>
          <w:b/>
        </w:rPr>
        <w:t>Limitations &amp; Open Questions</w:t>
      </w:r>
      <w:r>
        <w:t>:</w:t>
      </w:r>
    </w:p>
    <w:p>
      <w:pPr>
        <w:pStyle w:val="ListBullet"/>
        <w:spacing w:before="20" w:after="60" w:line="276" w:lineRule="auto"/>
      </w:pPr>
      <w:r>
        <w:rPr>
          <w:i/>
        </w:rPr>
        <w:t>Author-stated limitations</w:t>
      </w:r>
      <w:r>
        <w:t xml:space="preserve">: Training on a reduced subset due to hardware limitations restricts large-scale generalization </w:t>
      </w:r>
      <w:r>
        <w:rPr>
          <w:b/>
          <w:color w:val="0284C7"/>
          <w:sz w:val="19"/>
        </w:rPr>
        <w:t xml:space="preserve"> [3]</w:t>
      </w:r>
      <w:r>
        <w:t xml:space="preserve">. BART was evaluated without additional fine-tuning, introducing differences in training conditions compared to the fine-tuned encoder-only models </w:t>
      </w:r>
      <w:r>
        <w:rPr>
          <w:b/>
          <w:color w:val="0284C7"/>
          <w:sz w:val="19"/>
        </w:rPr>
        <w:t xml:space="preserve"> [6]</w:t>
      </w:r>
      <w:r>
        <w:t xml:space="preserve">. Automated evaluation metrics (ROUGE and BLEU) may not fully capture semantic quality and human readability </w:t>
      </w:r>
      <w:r>
        <w:rPr>
          <w:b/>
          <w:color w:val="0284C7"/>
          <w:sz w:val="19"/>
        </w:rPr>
        <w:t xml:space="preserve"> [2]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Inferred limitations</w:t>
      </w:r>
      <w:r>
        <w:t>: The exclusive use of a CPU-based system without GPU acceleration restricts the feasibility of scaling the comparative framework to full-sized modern datasets.</w:t>
      </w:r>
    </w:p>
    <w:p>
      <w:pPr>
        <w:spacing w:before="40" w:after="120" w:line="276" w:lineRule="auto"/>
      </w:pPr>
      <w:r>
        <w:t>---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2. The Deep Arbitrary Polynomial Chaos Neural Network or how Deep Artificial Neural Networks can solve Uncertainty Quantification Problems</w:t>
      </w:r>
    </w:p>
    <w:p>
      <w:pPr>
        <w:pStyle w:val="ListBullet"/>
        <w:spacing w:before="20" w:after="60" w:line="276" w:lineRule="auto"/>
      </w:pPr>
      <w:r>
        <w:rPr>
          <w:b/>
        </w:rPr>
        <w:t>Core Problem &amp; Objective</w:t>
      </w:r>
      <w:r>
        <w:t xml:space="preserve">: The paper addresses the limitations of conventional Deep Artificial Neural Networks (DANNs)—specifically redundant representations caused by linear weighted superpositions that lack orthogonality in signal processing, and the non-trivial, subjective choice of activation functions—by exploring how one-layer orthogonal polynomial chaos expansion findings can improve multi-layered DANNs for uncertainty quantification and related tasks </w:t>
      </w:r>
      <w:r>
        <w:rPr>
          <w:b/>
          <w:color w:val="0284C7"/>
          <w:sz w:val="19"/>
        </w:rPr>
        <w:t xml:space="preserve"> [11, 12]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Methodology &amp; Architecture</w:t>
      </w:r>
      <w:r>
        <w:t xml:space="preserve">: The study examines standard DANN architectures, which map inputs from </w:t>
      </w:r>
      <w:r>
        <w:rPr>
          <w:rFonts w:ascii="Cambria Math" w:hAnsi="Cambria Math"/>
          <w:i/>
          <w:color w:val="0F2942"/>
        </w:rPr>
        <w:t xml:space="preserve"> mathbbR^n </w:t>
      </w:r>
      <w:r>
        <w:t xml:space="preserve"> to </w:t>
      </w:r>
      <w:r>
        <w:rPr>
          <w:rFonts w:ascii="Cambria Math" w:hAnsi="Cambria Math"/>
          <w:i/>
          <w:color w:val="0F2942"/>
        </w:rPr>
        <w:t xml:space="preserve"> mathbbR </w:t>
      </w:r>
      <w:r>
        <w:t xml:space="preserve"> via multi-layered chains of linear combinations and non-linear activation functions </w:t>
      </w:r>
      <w:r>
        <w:rPr>
          <w:b/>
          <w:color w:val="0284C7"/>
          <w:sz w:val="19"/>
        </w:rPr>
        <w:t xml:space="preserve"> [9, 11]</w:t>
      </w:r>
      <w:r>
        <w:t xml:space="preserve">. It highlights alternative one-layer approaches—such as polynomial chaos expansions (PCE), Kriging/Gaussian process regression (GPE), Support vector regression (SVR), and Relevance vector machines (RVM)—which construct non-linear representations using orthogonal or orthonormal bases (polynomials, kernels, vectors) solved via linear systems </w:t>
      </w:r>
      <w:r>
        <w:rPr>
          <w:b/>
          <w:color w:val="0284C7"/>
          <w:sz w:val="19"/>
        </w:rPr>
        <w:t xml:space="preserve"> [9, 10, 12]</w:t>
      </w:r>
      <w:r>
        <w:t xml:space="preserve">. The authors argue for employing orthogonal (or orthonormal) decompositions to process neural signals and eliminate representation redundancies </w:t>
      </w:r>
      <w:r>
        <w:rPr>
          <w:b/>
          <w:color w:val="0284C7"/>
          <w:sz w:val="19"/>
        </w:rPr>
        <w:t xml:space="preserve"> [12]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Experimental Setup &amp; Datasets</w:t>
      </w:r>
      <w:r>
        <w:t>: The verified evidence excerpts do not specify experimental setups, datasets, sample sizes, or benchmark configurations.</w:t>
      </w:r>
    </w:p>
    <w:p>
      <w:pPr>
        <w:pStyle w:val="ListBullet"/>
        <w:spacing w:before="20" w:after="60" w:line="276" w:lineRule="auto"/>
      </w:pPr>
      <w:r>
        <w:rPr>
          <w:b/>
        </w:rPr>
        <w:t>Key Findings &amp; Reported Metrics</w:t>
      </w:r>
      <w:r>
        <w:t>: The verified evidence does not state explicit quantitative metrics or experimental results.</w:t>
      </w:r>
    </w:p>
    <w:p>
      <w:pPr>
        <w:pStyle w:val="ListBullet"/>
        <w:spacing w:before="20" w:after="60" w:line="276" w:lineRule="auto"/>
      </w:pPr>
      <w:r>
        <w:rPr>
          <w:b/>
        </w:rPr>
        <w:t>Limitations &amp; Open Questions</w:t>
      </w:r>
      <w:r>
        <w:t>:</w:t>
      </w:r>
    </w:p>
    <w:p>
      <w:pPr>
        <w:pStyle w:val="ListBullet"/>
        <w:spacing w:before="20" w:after="60" w:line="276" w:lineRule="auto"/>
      </w:pPr>
      <w:r>
        <w:rPr>
          <w:i/>
        </w:rPr>
        <w:t>Author-stated limitations</w:t>
      </w:r>
      <w:r>
        <w:t xml:space="preserve">: Hard constraints on orthogonality in recurrent neural networks can negatively affect convergence speed, and Gaussian prior regularization is inappropriate for many applications </w:t>
      </w:r>
      <w:r>
        <w:rPr>
          <w:b/>
          <w:color w:val="0284C7"/>
          <w:sz w:val="19"/>
        </w:rPr>
        <w:t xml:space="preserve"> [11]</w:t>
      </w:r>
      <w:r>
        <w:t xml:space="preserve">. Conventional DANNs and recently introduced </w:t>
      </w:r>
      <w:r>
        <w:rPr>
          <w:rFonts w:ascii="Cambria Math" w:hAnsi="Cambria Math"/>
          <w:i/>
          <w:color w:val="0F2942"/>
        </w:rPr>
        <w:t xml:space="preserve"> Pi </w:t>
      </w:r>
      <w:r>
        <w:t xml:space="preserve">-Nets do not account for orthogonality in neural signal processing, leading to representational redundancy </w:t>
      </w:r>
      <w:r>
        <w:rPr>
          <w:b/>
          <w:color w:val="0284C7"/>
          <w:sz w:val="19"/>
        </w:rPr>
        <w:t xml:space="preserve"> [12]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Inferred limitations</w:t>
      </w:r>
      <w:r>
        <w:t>: The evidence lacks empirical demonstrations or benchmark validations proving that integrating orthonormal polynomial chaos into deep networks resolves convergence bottlenecks in practical computing tasks.</w:t>
      </w:r>
    </w:p>
    <w:p>
      <w:pPr>
        <w:spacing w:before="40" w:after="120" w:line="276" w:lineRule="auto"/>
      </w:pPr>
      <w:r>
        <w:t>---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3. LegalTurk Optimized BERT for Multi-Label Text Classification and NER</w:t>
      </w:r>
    </w:p>
    <w:p>
      <w:pPr>
        <w:pStyle w:val="ListBullet"/>
        <w:spacing w:before="20" w:after="60" w:line="276" w:lineRule="auto"/>
      </w:pPr>
      <w:r>
        <w:rPr>
          <w:b/>
        </w:rPr>
        <w:t>Core Problem &amp; Objective</w:t>
      </w:r>
      <w:r>
        <w:t xml:space="preserve">: The paper addresses the scarcity of Turkish-specific domain adaptations in NLP—particularly for legal texts, where most available models rely on general-domain corpora—by modifying BERT's pre-training tasks and training models from scratch to optimize performance for legal Turkish text classification and Named Entity Recognition (NER) </w:t>
      </w:r>
      <w:r>
        <w:rPr>
          <w:b/>
          <w:color w:val="0284C7"/>
          <w:sz w:val="19"/>
        </w:rPr>
        <w:t xml:space="preserve"> [13, 14, 15]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Methodology &amp; Architecture</w:t>
      </w:r>
      <w:r>
        <w:t xml:space="preserve">: Without modifying the core BERT configuration, the study introduces three strategies: replacing Next Sentence Prediction (NSP) with Sentence Order Prediction (SOP), eliminating NSP entirely, and combining Masked Language Model (MLM) with Term Frequency-Inverse Document Frequency (TF-IDF) </w:t>
      </w:r>
      <w:r>
        <w:rPr>
          <w:b/>
          <w:color w:val="0284C7"/>
          <w:sz w:val="19"/>
        </w:rPr>
        <w:t xml:space="preserve"> [15]</w:t>
      </w:r>
      <w:r>
        <w:t xml:space="preserve">. Specifically, 10% of tokens selected for MLM are replaced with high TF-IDF value tokens instead of random vocabulary selection, alongside standard 80-10-10 MLM masking rules </w:t>
      </w:r>
      <w:r>
        <w:rPr>
          <w:b/>
          <w:color w:val="0284C7"/>
          <w:sz w:val="19"/>
        </w:rPr>
        <w:t xml:space="preserve"> [15]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Experimental Setup &amp; Datasets</w:t>
      </w:r>
      <w:r>
        <w:t xml:space="preserve">: Models were pre-trained from scratch on a 50 MB legal Turkish corpus sourced from YÖKTEZ thesis documents, with later scaling to 100 MB, 500 MB, 1 GB, and 2 GB corpora </w:t>
      </w:r>
      <w:r>
        <w:rPr>
          <w:b/>
          <w:color w:val="0284C7"/>
          <w:sz w:val="19"/>
        </w:rPr>
        <w:t xml:space="preserve"> [15]</w:t>
      </w:r>
      <w:r>
        <w:t xml:space="preserve">. Downstream evaluation utilized Turkish legal human-annotated datasets for NER and multi-label text classification </w:t>
      </w:r>
      <w:r>
        <w:rPr>
          <w:b/>
          <w:color w:val="0284C7"/>
          <w:sz w:val="19"/>
        </w:rPr>
        <w:t xml:space="preserve"> [15]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Key Findings &amp; Reported Metrics</w:t>
      </w:r>
      <w:r>
        <w:t>: The verified evidence states that the proposed models were successfully compared against original BERT and BERTurk models across various corpus sizes, but specific quantitative metrics (e.g., F1-score, accuracy) are not provided in the text.</w:t>
      </w:r>
    </w:p>
    <w:p>
      <w:pPr>
        <w:pStyle w:val="ListBullet"/>
        <w:spacing w:before="20" w:after="60" w:line="276" w:lineRule="auto"/>
      </w:pPr>
      <w:r>
        <w:rPr>
          <w:b/>
        </w:rPr>
        <w:t>Limitations &amp; Open Questions</w:t>
      </w:r>
      <w:r>
        <w:t>:</w:t>
      </w:r>
    </w:p>
    <w:p>
      <w:pPr>
        <w:pStyle w:val="ListBullet"/>
        <w:spacing w:before="20" w:after="60" w:line="276" w:lineRule="auto"/>
      </w:pPr>
      <w:r>
        <w:rPr>
          <w:i/>
        </w:rPr>
        <w:t>Author-stated limitations</w:t>
      </w:r>
      <w:r>
        <w:t xml:space="preserve">: The study notes that Turkish-based language models are notably limited compared to English ones and predominantly trained on non-specific domains </w:t>
      </w:r>
      <w:r>
        <w:rPr>
          <w:b/>
          <w:color w:val="0284C7"/>
          <w:sz w:val="19"/>
        </w:rPr>
        <w:t xml:space="preserve"> [14]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Inferred limitations</w:t>
      </w:r>
      <w:r>
        <w:t>: The text does not detail computational resource constraints or training duration overheads introduced by substituting random MLM tokens with high TF-IDF metric calculations.</w:t>
      </w:r>
    </w:p>
    <w:p>
      <w:pPr>
        <w:spacing w:before="40" w:after="120" w:line="276" w:lineRule="auto"/>
      </w:pPr>
      <w:r>
        <w:t>---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4. 2-Selmer Groups over Multiquadratic Extensions</w:t>
      </w:r>
    </w:p>
    <w:p>
      <w:pPr>
        <w:pStyle w:val="ListBullet"/>
        <w:spacing w:before="20" w:after="60" w:line="276" w:lineRule="auto"/>
      </w:pPr>
      <w:r>
        <w:rPr>
          <w:b/>
        </w:rPr>
        <w:t>Core Problem &amp; Objective</w:t>
      </w:r>
      <w:r>
        <w:t xml:space="preserve">: The paper addresses the asymptotic behavior and bounding of 2-Selmer groups of elliptic curves over multiquadratic extension fields by studying a specific genus theory invariant and local invariants </w:t>
      </w:r>
      <w:r>
        <w:rPr>
          <w:b/>
          <w:color w:val="0284C7"/>
          <w:sz w:val="19"/>
        </w:rPr>
        <w:t xml:space="preserve"> [20, 21]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Methodology &amp; Architecture</w:t>
      </w:r>
      <w:r>
        <w:t xml:space="preserve">: The mathematical methodology combines Poitou-Tate duality, inflation-restriction exact sequences, and a representation-theoretic structure of </w:t>
      </w:r>
      <w:r>
        <w:rPr>
          <w:rFonts w:ascii="Cambria Math" w:hAnsi="Cambria Math"/>
          <w:i/>
          <w:color w:val="0F2942"/>
        </w:rPr>
        <w:t xml:space="preserve"> mathbbF_2[G] </w:t>
      </w:r>
      <w:r>
        <w:t xml:space="preserve">-modules to bound </w:t>
      </w:r>
      <w:r>
        <w:rPr>
          <w:rFonts w:ascii="Cambria Math" w:hAnsi="Cambria Math"/>
          <w:i/>
          <w:color w:val="0F2942"/>
        </w:rPr>
        <w:t xml:space="preserve"> dim_{mathbbF_2} textSel_2(E/K) </w:t>
      </w:r>
      <w:r>
        <w:t xml:space="preserve"> </w:t>
      </w:r>
      <w:r>
        <w:rPr>
          <w:b/>
          <w:color w:val="0284C7"/>
          <w:sz w:val="19"/>
        </w:rPr>
        <w:t xml:space="preserve"> [23, 24]</w:t>
      </w:r>
      <w:r>
        <w:t xml:space="preserve">. It defines local invariants </w:t>
      </w:r>
      <w:r>
        <w:rPr>
          <w:rFonts w:ascii="Cambria Math" w:hAnsi="Cambria Math"/>
          <w:i/>
          <w:color w:val="0F2942"/>
        </w:rPr>
        <w:t xml:space="preserve"> G_v(K) </w:t>
      </w:r>
      <w:r>
        <w:t xml:space="preserve"> for primes </w:t>
      </w:r>
      <w:r>
        <w:rPr>
          <w:rFonts w:ascii="Cambria Math" w:hAnsi="Cambria Math"/>
          <w:i/>
          <w:color w:val="0F2942"/>
        </w:rPr>
        <w:t xml:space="preserve"> p  ≥  5 </w:t>
      </w:r>
      <w:r>
        <w:t xml:space="preserve">, biquadratic places, and unramified/ramified quadratic places, alongside the corestriction Selmer group </w:t>
      </w:r>
      <w:r>
        <w:rPr>
          <w:rFonts w:ascii="Cambria Math" w:hAnsi="Cambria Math"/>
          <w:i/>
          <w:color w:val="0F2942"/>
        </w:rPr>
        <w:t xml:space="preserve"> textSel^C(K)(Q, E[2]) </w:t>
      </w:r>
      <w:r>
        <w:t xml:space="preserve"> </w:t>
      </w:r>
      <w:r>
        <w:rPr>
          <w:b/>
          <w:color w:val="0284C7"/>
          <w:sz w:val="19"/>
        </w:rPr>
        <w:t xml:space="preserve"> [19, 21, 23]</w:t>
      </w:r>
      <w:r>
        <w:t xml:space="preserve">. The framework employs a modified Ekedahl sieve (originating from Ekedahl, Poonen–Stoll, and Bhargava et al.) to compute densities and average values of the genus theory invariant </w:t>
      </w:r>
      <w:r>
        <w:rPr>
          <w:rFonts w:ascii="Cambria Math" w:hAnsi="Cambria Math"/>
          <w:i/>
          <w:color w:val="0F2942"/>
        </w:rPr>
        <w:t xml:space="preserve"> g_2(K/Q; E) </w:t>
      </w:r>
      <w:r>
        <w:t xml:space="preserve"> over families of elliptic curves </w:t>
      </w:r>
      <w:r>
        <w:rPr>
          <w:b/>
          <w:color w:val="0284C7"/>
          <w:sz w:val="19"/>
        </w:rPr>
        <w:t xml:space="preserve"> [21, 22]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Experimental Setup &amp; Datasets</w:t>
      </w:r>
      <w:r>
        <w:t xml:space="preserve">: This is a pure mathematics study; it does not use empirical computer science datasets. It utilizes algebraic number theory formulations, Galois extensions, and asymptotic limits as </w:t>
      </w:r>
      <w:r>
        <w:rPr>
          <w:rFonts w:ascii="Cambria Math" w:hAnsi="Cambria Math"/>
          <w:i/>
          <w:color w:val="0F2942"/>
        </w:rPr>
        <w:t xml:space="preserve"> X to ∞ </w:t>
      </w:r>
      <w:r>
        <w:t xml:space="preserve"> over families of elliptic curves </w:t>
      </w:r>
      <w:r>
        <w:rPr>
          <w:rFonts w:ascii="Cambria Math" w:hAnsi="Cambria Math"/>
          <w:i/>
          <w:color w:val="0F2942"/>
        </w:rPr>
        <w:t xml:space="preserve"> E(X) </w:t>
      </w:r>
      <w:r>
        <w:t xml:space="preserve"> </w:t>
      </w:r>
      <w:r>
        <w:rPr>
          <w:b/>
          <w:color w:val="0284C7"/>
          <w:sz w:val="19"/>
        </w:rPr>
        <w:t xml:space="preserve"> [21, 22]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Key Findings &amp; Reported Metrics</w:t>
      </w:r>
      <w:r>
        <w:t xml:space="preserve">: The study proves Theorem 1.2, establishing upper and lower bounds for the average dimension of 2-Selmer groups over multiquadratic extensions involving local invariants and an explicit error term </w:t>
      </w:r>
      <w:r>
        <w:rPr>
          <w:rFonts w:ascii="Cambria Math" w:hAnsi="Cambria Math"/>
          <w:i/>
          <w:color w:val="0F2942"/>
        </w:rPr>
        <w:t xml:space="preserve"> O((2^(23 / 24) ω(Δ_K) / ω(Δ_K)!)) </w:t>
      </w:r>
      <w:r>
        <w:t xml:space="preserve"> </w:t>
      </w:r>
      <w:r>
        <w:rPr>
          <w:b/>
          <w:color w:val="0284C7"/>
          <w:sz w:val="19"/>
        </w:rPr>
        <w:t xml:space="preserve"> [20]</w:t>
      </w:r>
      <w:r>
        <w:t xml:space="preserve">. It proves Theorem 1.7 bounding </w:t>
      </w:r>
      <w:r>
        <w:rPr>
          <w:rFonts w:ascii="Cambria Math" w:hAnsi="Cambria Math"/>
          <w:i/>
          <w:color w:val="0F2942"/>
        </w:rPr>
        <w:t xml:space="preserve"> G^-(K) </w:t>
      </w:r>
      <w:r>
        <w:t xml:space="preserve"> and </w:t>
      </w:r>
      <w:r>
        <w:rPr>
          <w:rFonts w:ascii="Cambria Math" w:hAnsi="Cambria Math"/>
          <w:i/>
          <w:color w:val="0F2942"/>
        </w:rPr>
        <w:t xml:space="preserve"> G^+(K) </w:t>
      </w:r>
      <w:r>
        <w:t xml:space="preserve"> via local sums, and establishes Corollary 1.8 showing that these bounds agree when 2 and 3 are totally split </w:t>
      </w:r>
      <w:r>
        <w:rPr>
          <w:b/>
          <w:color w:val="0284C7"/>
          <w:sz w:val="19"/>
        </w:rPr>
        <w:t xml:space="preserve"> [21, 22]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Limitations &amp; Open Questions</w:t>
      </w:r>
      <w:r>
        <w:t>:</w:t>
      </w:r>
    </w:p>
    <w:p>
      <w:pPr>
        <w:pStyle w:val="ListBullet"/>
        <w:spacing w:before="20" w:after="60" w:line="276" w:lineRule="auto"/>
      </w:pPr>
      <w:r>
        <w:rPr>
          <w:i/>
        </w:rPr>
        <w:t>Author-stated limitations</w:t>
      </w:r>
      <w:r>
        <w:t xml:space="preserve">: The results highlight an explicit departure from the average behavior seen in quadratic twist families of </w:t>
      </w:r>
      <w:r>
        <w:rPr>
          <w:rFonts w:ascii="Cambria Math" w:hAnsi="Cambria Math"/>
          <w:i/>
          <w:color w:val="0F2942"/>
        </w:rPr>
        <w:t xml:space="preserve"> textSel_2(E/mathbbQ) </w:t>
      </w:r>
      <w:r>
        <w:t xml:space="preserve"> where dimensions go to infinity, whereas the family examined maintains finiteness </w:t>
      </w:r>
      <w:r>
        <w:rPr>
          <w:b/>
          <w:color w:val="0284C7"/>
          <w:sz w:val="19"/>
        </w:rPr>
        <w:t xml:space="preserve"> [20]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Inferred limitations</w:t>
      </w:r>
      <w:r>
        <w:t xml:space="preserve">: The proofs rely on specific splitting behaviors (such as primes 2 and 3 being totally split) for exact limit convergence, leaving general non-split configurations bounded by inequalities rather than exact evaluations </w:t>
      </w:r>
      <w:r>
        <w:rPr>
          <w:b/>
          <w:color w:val="0284C7"/>
          <w:sz w:val="19"/>
        </w:rPr>
        <w:t xml:space="preserve"> [21, 22]</w:t>
      </w:r>
      <w:r>
        <w:t>.</w:t>
      </w:r>
    </w:p>
    <w:p>
      <w:pPr>
        <w:spacing w:before="40" w:after="120" w:line="276" w:lineRule="auto"/>
      </w:pPr>
      <w:r>
        <w:t>---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5. Gated Sparse Attention: Combining Computational Efficiency with High Performance</w:t>
      </w:r>
    </w:p>
    <w:p>
      <w:pPr>
        <w:pStyle w:val="ListBullet"/>
        <w:spacing w:before="20" w:after="60" w:line="276" w:lineRule="auto"/>
      </w:pPr>
      <w:r>
        <w:rPr>
          <w:b/>
        </w:rPr>
        <w:t>Core Problem &amp; Objective</w:t>
      </w:r>
      <w:r>
        <w:t>: The paper addresses the computational liabilities of standard dense attention (</w:t>
      </w:r>
      <w:r>
        <w:rPr>
          <w:rFonts w:ascii="Cambria Math" w:hAnsi="Cambria Math"/>
          <w:i/>
          <w:color w:val="0F2942"/>
        </w:rPr>
        <w:t xml:space="preserve"> O(L_2d) </w:t>
      </w:r>
      <w:r>
        <w:t xml:space="preserve"> complexity) and sparse attention variants (which improve speed but leave training stability and attention-sink phenomena unaddressed) by combining sparse token selection with element-wise sigmoid gating </w:t>
      </w:r>
      <w:r>
        <w:rPr>
          <w:b/>
          <w:color w:val="0284C7"/>
          <w:sz w:val="19"/>
        </w:rPr>
        <w:t xml:space="preserve"> [25, 26]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Methodology &amp; Architecture</w:t>
      </w:r>
      <w:r>
        <w:t xml:space="preserve">: The proposed Gated Sparse Attention (GSA) architecture integrates three components: (1) a gated lightning indexer that scores tokens using sigmoid units in </w:t>
      </w:r>
      <w:r>
        <w:rPr>
          <w:rFonts w:ascii="Cambria Math" w:hAnsi="Cambria Math"/>
          <w:i/>
          <w:color w:val="0F2942"/>
        </w:rPr>
        <w:t xml:space="preserve"> (0, H_I) </w:t>
      </w:r>
      <w:r>
        <w:t xml:space="preserve"> instead of ReLU, providing smooth gradient responses; (2) an adaptive sparsity controller that modulates the selection budget </w:t>
      </w:r>
      <w:r>
        <w:rPr>
          <w:rFonts w:ascii="Cambria Math" w:hAnsi="Cambria Math"/>
          <w:i/>
          <w:color w:val="0F2942"/>
        </w:rPr>
        <w:t xml:space="preserve"> k_t </w:t>
      </w:r>
      <w:r>
        <w:t xml:space="preserve"> dynamically based on score variance (aggressive pruning for high variance, larger context windows for low variance); and (3) dual gating applied to values before aggregation (</w:t>
      </w:r>
      <w:r>
        <w:rPr>
          <w:rFonts w:ascii="Cambria Math" w:hAnsi="Cambria Math"/>
          <w:i/>
          <w:color w:val="0F2942"/>
        </w:rPr>
        <w:t xml:space="preserve"> G_2 </w:t>
      </w:r>
      <w:r>
        <w:t>) and outputs after scaled dot-product attention (</w:t>
      </w:r>
      <w:r>
        <w:rPr>
          <w:rFonts w:ascii="Cambria Math" w:hAnsi="Cambria Math"/>
          <w:i/>
          <w:color w:val="0F2942"/>
        </w:rPr>
        <w:t xml:space="preserve"> G_1 </w:t>
      </w:r>
      <w:r>
        <w:t xml:space="preserve">) to inject non-linearity and eliminate the need for sink tokens </w:t>
      </w:r>
      <w:r>
        <w:rPr>
          <w:b/>
          <w:color w:val="0284C7"/>
          <w:sz w:val="19"/>
        </w:rPr>
        <w:t xml:space="preserve"> [26]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Experimental Setup &amp; Datasets</w:t>
      </w:r>
      <w:r>
        <w:t xml:space="preserve">: The architecture is evaluated on the WikiText-103 dataset for perplexity and RULER benchmarks at 128K context lengths, measuring metrics such as throughput speedups, first-token attention percentages, loss spike frequencies, and maximum activation magnitudes </w:t>
      </w:r>
      <w:r>
        <w:rPr>
          <w:b/>
          <w:color w:val="0284C7"/>
          <w:sz w:val="19"/>
        </w:rPr>
        <w:t xml:space="preserve"> [27]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Key Findings &amp; Reported Metrics</w:t>
      </w:r>
      <w:r>
        <w:t>: GSA achieves throughput 12–16</w:t>
      </w:r>
      <w:r>
        <w:rPr>
          <w:rFonts w:ascii="Cambria Math" w:hAnsi="Cambria Math"/>
          <w:i/>
          <w:color w:val="0F2942"/>
        </w:rPr>
        <w:t xml:space="preserve">  ×  </w:t>
      </w:r>
      <w:r>
        <w:t xml:space="preserve"> faster than dense attention at 128K tokens </w:t>
      </w:r>
      <w:r>
        <w:rPr>
          <w:b/>
          <w:color w:val="0284C7"/>
          <w:sz w:val="19"/>
        </w:rPr>
        <w:t xml:space="preserve"> [27]</w:t>
      </w:r>
      <w:r>
        <w:t xml:space="preserve">. On WikiText-103, perplexity drops from 6.03 to 5.70 </w:t>
      </w:r>
      <w:r>
        <w:rPr>
          <w:b/>
          <w:color w:val="0284C7"/>
          <w:sz w:val="19"/>
        </w:rPr>
        <w:t xml:space="preserve"> [27]</w:t>
      </w:r>
      <w:r>
        <w:t xml:space="preserve">. RULER scores at 128K context rise from 32 to 62 </w:t>
      </w:r>
      <w:r>
        <w:rPr>
          <w:b/>
          <w:color w:val="0284C7"/>
          <w:sz w:val="19"/>
        </w:rPr>
        <w:t xml:space="preserve"> [27]</w:t>
      </w:r>
      <w:r>
        <w:t xml:space="preserve">. First-token attention mass drops from 47% down to 4% </w:t>
      </w:r>
      <w:r>
        <w:rPr>
          <w:b/>
          <w:color w:val="0284C7"/>
          <w:sz w:val="19"/>
        </w:rPr>
        <w:t xml:space="preserve"> [27]</w:t>
      </w:r>
      <w:r>
        <w:t xml:space="preserve">. Training stability improves with loss spikes nearly eliminated and maximum activations reduced by an order of magnitude </w:t>
      </w:r>
      <w:r>
        <w:rPr>
          <w:b/>
          <w:color w:val="0284C7"/>
          <w:sz w:val="19"/>
        </w:rPr>
        <w:t xml:space="preserve"> [27]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Limitations &amp; Open Questions</w:t>
      </w:r>
      <w:r>
        <w:t>:</w:t>
      </w:r>
    </w:p>
    <w:p>
      <w:pPr>
        <w:pStyle w:val="ListBullet"/>
        <w:spacing w:before="20" w:after="60" w:line="276" w:lineRule="auto"/>
      </w:pPr>
      <w:r>
        <w:rPr>
          <w:i/>
        </w:rPr>
        <w:t>Author-stated limitations</w:t>
      </w:r>
      <w:r>
        <w:t>: The verified text does not explicitly list author-stated failure modes or constraints for GSA.</w:t>
      </w:r>
    </w:p>
    <w:p>
      <w:pPr>
        <w:pStyle w:val="ListBullet"/>
        <w:spacing w:before="20" w:after="60" w:line="276" w:lineRule="auto"/>
      </w:pPr>
      <w:r>
        <w:rPr>
          <w:i/>
        </w:rPr>
        <w:t>Inferred limitations</w:t>
      </w:r>
      <w:r>
        <w:t>: The study does not evaluate GSA's memory overhead trade-offs introduced by maintaining dual-gating pathways alongside the adaptive sparsity controller across extremely deep network configurations.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748B"/>
        <w:sz w:val="17"/>
      </w:rPr>
      <w:t>Generated: October 26, 2026 | Evidence-Grounded Research Synthesis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SupervisorX Scientific Report • SupervisorX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