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F2942"/>
          <w:sz w:val="44"/>
        </w:rPr>
        <w:t>Academic Literature Summary</w:t>
      </w:r>
    </w:p>
    <w:p>
      <w:pPr>
        <w:spacing w:before="0" w:after="320"/>
      </w:pPr>
      <w:r>
        <w:rPr>
          <w:b/>
          <w:color w:val="0284C7"/>
          <w:sz w:val="19"/>
        </w:rPr>
        <w:t xml:space="preserve">PAPER SUMMARY   |   </w:t>
      </w:r>
      <w:r>
        <w:rPr>
          <w:color w:val="64748B"/>
          <w:sz w:val="19"/>
        </w:rPr>
        <w:t>Date: October 26, 2026</w:t>
      </w:r>
    </w:p>
    <w:p>
      <w:pPr>
        <w:spacing w:before="0" w:after="280"/>
      </w:pPr>
      <w:r>
        <w:rPr>
          <w:i/>
          <w:color w:val="64748B"/>
          <w:sz w:val="20"/>
        </w:rPr>
        <w:t>Scope: Structured executive summary across 5 analyzed papers</w:t>
      </w:r>
    </w:p>
    <w:p>
      <w:pPr>
        <w:spacing w:before="0" w:after="280"/>
      </w:pPr>
      <w:r>
        <w:rPr>
          <w:color w:val="64748B"/>
          <w:sz w:val="18"/>
        </w:rPr>
        <w:t>――――――――――――――――――――――――――――――――――――――――――――――――――――</w:t>
      </w:r>
    </w:p>
    <w:p>
      <w:pPr>
        <w:spacing w:before="200" w:after="80"/>
      </w:pPr>
      <w:r>
        <w:rPr>
          <w:rFonts w:ascii="Arial" w:hAnsi="Arial"/>
          <w:b/>
          <w:color w:val="1E293B"/>
          <w:sz w:val="22"/>
        </w:rPr>
        <w:t>1. Core Problem &amp; Objective</w:t>
      </w:r>
    </w:p>
    <w:p>
      <w:pPr>
        <w:spacing w:before="40" w:after="120" w:line="276" w:lineRule="auto"/>
      </w:pPr>
      <w:r>
        <w:t xml:space="preserve">The paper addresses the need for a focused comparative review of specific transformer architectures in Automatic Text Summarization (ATS) </w:t>
      </w:r>
      <w:r>
        <w:rPr>
          <w:b/>
          <w:color w:val="0284C7"/>
          <w:sz w:val="19"/>
        </w:rPr>
        <w:t xml:space="preserve"> [1]</w:t>
      </w:r>
      <w:r>
        <w:t xml:space="preserve">. While prior surveys provide broad overviews, there is limited analysis regarding how architectural differences (such as encoder-only versus encoder-decoder designs) and pretraining objectives impact performance in extractive and abstractive summarization tasks </w:t>
      </w:r>
      <w:r>
        <w:rPr>
          <w:b/>
          <w:color w:val="0284C7"/>
          <w:sz w:val="19"/>
        </w:rPr>
        <w:t xml:space="preserve"> [1]</w:t>
      </w:r>
      <w:r>
        <w:t>.</w:t>
      </w:r>
    </w:p>
    <w:p>
      <w:pPr>
        <w:spacing w:before="200" w:after="80"/>
      </w:pPr>
      <w:r>
        <w:rPr>
          <w:rFonts w:ascii="Arial" w:hAnsi="Arial"/>
          <w:b/>
          <w:color w:val="1E293B"/>
          <w:sz w:val="22"/>
        </w:rPr>
        <w:t>2. Methodology &amp; Architecture</w:t>
      </w:r>
    </w:p>
    <w:p>
      <w:pPr>
        <w:spacing w:before="40" w:after="120" w:line="276" w:lineRule="auto"/>
      </w:pPr>
      <w:r>
        <w:t xml:space="preserve">The study evaluates three prominent transformer models under a consistent experimental setting: BERT (encoder-only, bidirectional contextual representations), RoBERTa (optimized pretraining strategies and large-scale data utilization), and BART (encoder-decoder framework for generative tasks) </w:t>
      </w:r>
      <w:r>
        <w:rPr>
          <w:b/>
          <w:color w:val="0284C7"/>
          <w:sz w:val="19"/>
        </w:rPr>
        <w:t xml:space="preserve"> [1]</w:t>
      </w:r>
      <w:r>
        <w:t>.</w:t>
      </w:r>
    </w:p>
    <w:p>
      <w:pPr>
        <w:spacing w:before="200" w:after="80"/>
      </w:pPr>
      <w:r>
        <w:rPr>
          <w:rFonts w:ascii="Arial" w:hAnsi="Arial"/>
          <w:b/>
          <w:color w:val="1E293B"/>
          <w:sz w:val="22"/>
        </w:rPr>
        <w:t>3. Experimental Setup &amp; Datasets</w:t>
      </w:r>
    </w:p>
    <w:p>
      <w:pPr>
        <w:spacing w:before="40" w:after="120" w:line="276" w:lineRule="auto"/>
      </w:pPr>
      <w:r>
        <w:t xml:space="preserve">The experiments utilize the CNN/Daily Mail dataset (obtained from Kaggle in 2025), consisting of news articles paired with human-written summaries </w:t>
      </w:r>
      <w:r>
        <w:rPr>
          <w:b/>
          <w:color w:val="0284C7"/>
          <w:sz w:val="19"/>
        </w:rPr>
        <w:t xml:space="preserve"> [2]</w:t>
      </w:r>
      <w:r>
        <w:t xml:space="preserve">. Performance is quantitatively evaluated using the Recall-Oriented Understudy for Gisting Evaluation (ROUGE) and BLEU metrics </w:t>
      </w:r>
      <w:r>
        <w:rPr>
          <w:b/>
          <w:color w:val="0284C7"/>
          <w:sz w:val="19"/>
        </w:rPr>
        <w:t xml:space="preserve"> [2]</w:t>
      </w:r>
      <w:r>
        <w:t>.</w:t>
      </w:r>
    </w:p>
    <w:p>
      <w:pPr>
        <w:spacing w:before="200" w:after="80"/>
      </w:pPr>
      <w:r>
        <w:rPr>
          <w:rFonts w:ascii="Arial" w:hAnsi="Arial"/>
          <w:b/>
          <w:color w:val="1E293B"/>
          <w:sz w:val="22"/>
        </w:rPr>
        <w:t>4. Key Findings &amp; Reported Metrics</w:t>
      </w:r>
    </w:p>
    <w:p>
      <w:pPr>
        <w:spacing w:before="40" w:after="120" w:line="276" w:lineRule="auto"/>
      </w:pPr>
      <w:r>
        <w:t xml:space="preserve">BART outperformed BERT across all ROUGE and BLEU metrics </w:t>
      </w:r>
      <w:r>
        <w:rPr>
          <w:b/>
          <w:color w:val="0284C7"/>
          <w:sz w:val="19"/>
        </w:rPr>
        <w:t xml:space="preserve"> [3]</w:t>
      </w:r>
      <w:r>
        <w:t xml:space="preserve">. Specifically, in comparisons between RoBERTa and BART, BART achieved a ROUGE-1 score of approximately 0.4117, whereas RoBERTa achieved a ROUGE-1 score of 0.1820 </w:t>
      </w:r>
      <w:r>
        <w:rPr>
          <w:b/>
          <w:color w:val="0284C7"/>
          <w:sz w:val="19"/>
        </w:rPr>
        <w:t xml:space="preserve"> [3]</w:t>
      </w:r>
      <w:r>
        <w:t xml:space="preserve">. Overall, extractive models like BERT and RoBERTa are more fact-preserving and stable, while abstractive models like BART achieve higher semantic quality </w:t>
      </w:r>
      <w:r>
        <w:rPr>
          <w:b/>
          <w:color w:val="0284C7"/>
          <w:sz w:val="19"/>
        </w:rPr>
        <w:t xml:space="preserve"> [4]</w:t>
      </w:r>
      <w:r>
        <w:t>.</w:t>
      </w:r>
    </w:p>
    <w:p>
      <w:pPr>
        <w:spacing w:before="200" w:after="80"/>
      </w:pPr>
      <w:r>
        <w:rPr>
          <w:rFonts w:ascii="Arial" w:hAnsi="Arial"/>
          <w:b/>
          <w:color w:val="1E293B"/>
          <w:sz w:val="22"/>
        </w:rPr>
        <w:t>5. Limitations &amp; Open Questions</w:t>
      </w:r>
    </w:p>
    <w:p>
      <w:pPr>
        <w:spacing w:before="40" w:after="120" w:line="276" w:lineRule="auto"/>
      </w:pPr>
      <w:r>
        <w:t xml:space="preserve">Author-stated limitations and considerations include the influence of differing training configurations—specifically the comparison of fine-tuned encoder-only models against a pretrained generative model—when interpreting the magnitude of performance differences </w:t>
      </w:r>
      <w:r>
        <w:rPr>
          <w:b/>
          <w:color w:val="0284C7"/>
          <w:sz w:val="19"/>
        </w:rPr>
        <w:t xml:space="preserve"> [4]</w:t>
      </w:r>
      <w:r>
        <w:t xml:space="preserve">. Open questions involve extending the work by fine-tuning BART on domain-specific datasets (medical, legal, educational) and comparing against larger models such as T5, LLaMA, and GPT-based architectures </w:t>
      </w:r>
      <w:r>
        <w:rPr>
          <w:b/>
          <w:color w:val="0284C7"/>
          <w:sz w:val="19"/>
        </w:rPr>
        <w:t xml:space="preserve"> [4]</w:t>
      </w:r>
      <w:r>
        <w:t>.</w:t>
      </w:r>
    </w:p>
    <w:p>
      <w:pPr>
        <w:spacing w:before="200" w:after="80"/>
      </w:pPr>
      <w:r>
        <w:rPr>
          <w:rFonts w:ascii="Arial" w:hAnsi="Arial"/>
          <w:b/>
          <w:color w:val="1E293B"/>
          <w:sz w:val="22"/>
        </w:rPr>
        <w:t>1. Core Problem &amp; Objective</w:t>
      </w:r>
    </w:p>
    <w:p>
      <w:pPr>
        <w:spacing w:before="40" w:after="120" w:line="276" w:lineRule="auto"/>
      </w:pPr>
      <w:r>
        <w:t xml:space="preserve">The paper addresses Uncertainty Quantification (UQ) problems by proposing a novel neural network architecture that combines deep artificial neural networks with arbitrary polynomial chaos expansion to improve convergence and prediction accuracy </w:t>
      </w:r>
      <w:r>
        <w:rPr>
          <w:b/>
          <w:color w:val="0284C7"/>
          <w:sz w:val="19"/>
        </w:rPr>
        <w:t xml:space="preserve"> [5, 7]</w:t>
      </w:r>
      <w:r>
        <w:t>.</w:t>
      </w:r>
    </w:p>
    <w:p>
      <w:pPr>
        <w:spacing w:before="200" w:after="80"/>
      </w:pPr>
      <w:r>
        <w:rPr>
          <w:rFonts w:ascii="Arial" w:hAnsi="Arial"/>
          <w:b/>
          <w:color w:val="1E293B"/>
          <w:sz w:val="22"/>
        </w:rPr>
        <w:t>2. Methodology &amp; Architecture</w:t>
      </w:r>
    </w:p>
    <w:p>
      <w:pPr>
        <w:spacing w:before="40" w:after="120" w:line="276" w:lineRule="auto"/>
      </w:pPr>
      <w:r>
        <w:t xml:space="preserve">The study introduces the Deep Arbitrary Polynomial Chaos Neural Network (DaPC NN), which incorporates additional degrees of freedom by selecting non-linearity degrees on specific layers and introducing unknown weights associated with input neurons from previous layers </w:t>
      </w:r>
      <w:r>
        <w:rPr>
          <w:b/>
          <w:color w:val="0284C7"/>
          <w:sz w:val="19"/>
        </w:rPr>
        <w:t xml:space="preserve"> [5, 7]</w:t>
      </w:r>
      <w:r>
        <w:t xml:space="preserve">. It is compared against conventional Deep Artificial Neural Networks (DANN) and standard arbitrary polynomial chaos (aPC) expansions </w:t>
      </w:r>
      <w:r>
        <w:rPr>
          <w:b/>
          <w:color w:val="0284C7"/>
          <w:sz w:val="19"/>
        </w:rPr>
        <w:t xml:space="preserve"> [7]</w:t>
      </w:r>
      <w:r>
        <w:t>.</w:t>
      </w:r>
    </w:p>
    <w:p>
      <w:pPr>
        <w:spacing w:before="200" w:after="80"/>
      </w:pPr>
      <w:r>
        <w:rPr>
          <w:rFonts w:ascii="Arial" w:hAnsi="Arial"/>
          <w:b/>
          <w:color w:val="1E293B"/>
          <w:sz w:val="22"/>
        </w:rPr>
        <w:t>3. Experimental Setup &amp; Datasets</w:t>
      </w:r>
    </w:p>
    <w:p>
      <w:pPr>
        <w:spacing w:before="40" w:after="120" w:line="276" w:lineRule="auto"/>
      </w:pPr>
      <w:r>
        <w:t xml:space="preserve">The evaluation uses benchmark problems such as the Ishigami test case (with 3 inputs) and the ON-10 test case with ten inputs, alongside a carbon dioxide benchmark problem with non-linear shock propagation </w:t>
      </w:r>
      <w:r>
        <w:rPr>
          <w:b/>
          <w:color w:val="0284C7"/>
          <w:sz w:val="19"/>
        </w:rPr>
        <w:t xml:space="preserve"> [5, 6, 7]</w:t>
      </w:r>
      <w:r>
        <w:t>. Training dataset sizes (</w:t>
      </w:r>
      <w:r>
        <w:rPr>
          <w:rFonts w:ascii="Cambria Math" w:hAnsi="Cambria Math"/>
          <w:i/>
          <w:color w:val="0F2942"/>
        </w:rPr>
        <w:t xml:space="preserve"> T_N </w:t>
      </w:r>
      <w:r>
        <w:t>) of 10, 100, 500, and 1000 are evaluated, with validation datasets (</w:t>
      </w:r>
      <w:r>
        <w:rPr>
          <w:rFonts w:ascii="Cambria Math" w:hAnsi="Cambria Math"/>
          <w:i/>
          <w:color w:val="0F2942"/>
        </w:rPr>
        <w:t xml:space="preserve"> V_N = 10^3 </w:t>
      </w:r>
      <w:r>
        <w:t xml:space="preserve">) generated via Monte Carlo sampling </w:t>
      </w:r>
      <w:r>
        <w:rPr>
          <w:b/>
          <w:color w:val="0284C7"/>
          <w:sz w:val="19"/>
        </w:rPr>
        <w:t xml:space="preserve"> [6, 7]</w:t>
      </w:r>
      <w:r>
        <w:t>.</w:t>
      </w:r>
    </w:p>
    <w:p>
      <w:pPr>
        <w:spacing w:before="200" w:after="80"/>
      </w:pPr>
      <w:r>
        <w:rPr>
          <w:rFonts w:ascii="Arial" w:hAnsi="Arial"/>
          <w:b/>
          <w:color w:val="1E293B"/>
          <w:sz w:val="22"/>
        </w:rPr>
        <w:t>4. Key Findings &amp; Reported Metrics</w:t>
      </w:r>
    </w:p>
    <w:p>
      <w:pPr>
        <w:spacing w:before="40" w:after="120" w:line="276" w:lineRule="auto"/>
      </w:pPr>
      <w:r>
        <w:t xml:space="preserve">Faster convergence was reached for the DaPC NN across all investigated convergence metrics (Mean Square Error, relative error of the mean value, and relative error of the standard deviation) compared to conventional DANN and aPC models </w:t>
      </w:r>
      <w:r>
        <w:rPr>
          <w:b/>
          <w:color w:val="0284C7"/>
          <w:sz w:val="19"/>
        </w:rPr>
        <w:t xml:space="preserve"> [7]</w:t>
      </w:r>
      <w:r>
        <w:t xml:space="preserve">. Furthermore, aPC achieved smaller relative errors for the mean and standard deviation than conventional DANN </w:t>
      </w:r>
      <w:r>
        <w:rPr>
          <w:b/>
          <w:color w:val="0284C7"/>
          <w:sz w:val="19"/>
        </w:rPr>
        <w:t xml:space="preserve"> [7]</w:t>
      </w:r>
      <w:r>
        <w:t>.</w:t>
      </w:r>
    </w:p>
    <w:p>
      <w:pPr>
        <w:spacing w:before="200" w:after="80"/>
      </w:pPr>
      <w:r>
        <w:rPr>
          <w:rFonts w:ascii="Arial" w:hAnsi="Arial"/>
          <w:b/>
          <w:color w:val="1E293B"/>
          <w:sz w:val="22"/>
        </w:rPr>
        <w:t>5. Limitations &amp; Open Questions</w:t>
      </w:r>
    </w:p>
    <w:p>
      <w:pPr>
        <w:spacing w:before="40" w:after="120" w:line="276" w:lineRule="auto"/>
      </w:pPr>
      <w:r>
        <w:t xml:space="preserve">Author-stated challenges note that selecting architectures (number of layers, nodes per layer, non-linearity degree, and activation functions) poses strong modeling hurdles that require a deep understanding of each underlying machine learning approach </w:t>
      </w:r>
      <w:r>
        <w:rPr>
          <w:b/>
          <w:color w:val="0284C7"/>
          <w:sz w:val="19"/>
        </w:rPr>
        <w:t xml:space="preserve"> [5]</w:t>
      </w:r>
      <w:r>
        <w:t>.</w:t>
      </w:r>
    </w:p>
    <w:p>
      <w:pPr>
        <w:spacing w:before="200" w:after="80"/>
      </w:pPr>
      <w:r>
        <w:rPr>
          <w:rFonts w:ascii="Arial" w:hAnsi="Arial"/>
          <w:b/>
          <w:color w:val="1E293B"/>
          <w:sz w:val="22"/>
        </w:rPr>
        <w:t>1. Core Problem &amp; Objective</w:t>
      </w:r>
    </w:p>
    <w:p>
      <w:pPr>
        <w:spacing w:before="40" w:after="120" w:line="276" w:lineRule="auto"/>
      </w:pPr>
      <w:r>
        <w:t xml:space="preserve">The paper addresses the optimization and pre-training of BERT models specifically for the legal Turkish domain, targeting two downstream tasks: Named Entity Recognition (NER) and multi-label text classification </w:t>
      </w:r>
      <w:r>
        <w:rPr>
          <w:b/>
          <w:color w:val="0284C7"/>
          <w:sz w:val="19"/>
        </w:rPr>
        <w:t xml:space="preserve"> [8, 10]</w:t>
      </w:r>
      <w:r>
        <w:t>.</w:t>
      </w:r>
    </w:p>
    <w:p>
      <w:pPr>
        <w:spacing w:before="200" w:after="80"/>
      </w:pPr>
      <w:r>
        <w:rPr>
          <w:rFonts w:ascii="Arial" w:hAnsi="Arial"/>
          <w:b/>
          <w:color w:val="1E293B"/>
          <w:sz w:val="22"/>
        </w:rPr>
        <w:t>2. Methodology &amp; Architecture</w:t>
      </w:r>
    </w:p>
    <w:p>
      <w:pPr>
        <w:spacing w:before="40" w:after="120" w:line="276" w:lineRule="auto"/>
      </w:pPr>
      <w:r>
        <w:t xml:space="preserve">The authors execute pre-training rounds from scratch using legal domain corpora (starting from a 50MB corpus and scaling up to 2GB) and fine-tune models using a Hold-out method (80% training, 10% validation, 10% test) </w:t>
      </w:r>
      <w:r>
        <w:rPr>
          <w:b/>
          <w:color w:val="0284C7"/>
          <w:sz w:val="19"/>
        </w:rPr>
        <w:t xml:space="preserve"> [8, 9]</w:t>
      </w:r>
      <w:r>
        <w:t xml:space="preserve">. Architectural enhancements include replacing the Next Sentence Prediction (NSP) subtask with Sentence Order Prediction (SOP) and integrating TF-IDF strategies into Masked Language Modeling (MLM) </w:t>
      </w:r>
      <w:r>
        <w:rPr>
          <w:b/>
          <w:color w:val="0284C7"/>
          <w:sz w:val="19"/>
        </w:rPr>
        <w:t xml:space="preserve"> [9]</w:t>
      </w:r>
      <w:r>
        <w:t>.</w:t>
      </w:r>
    </w:p>
    <w:p>
      <w:pPr>
        <w:spacing w:before="200" w:after="80"/>
      </w:pPr>
      <w:r>
        <w:rPr>
          <w:rFonts w:ascii="Arial" w:hAnsi="Arial"/>
          <w:b/>
          <w:color w:val="1E293B"/>
          <w:sz w:val="22"/>
        </w:rPr>
        <w:t>3. Experimental Setup &amp; Datasets</w:t>
      </w:r>
    </w:p>
    <w:p>
      <w:pPr>
        <w:spacing w:before="40" w:after="120" w:line="276" w:lineRule="auto"/>
      </w:pPr>
      <w:r>
        <w:t xml:space="preserve">The pre-training corpus is extracted from publicly available legal domain theses </w:t>
      </w:r>
      <w:r>
        <w:rPr>
          <w:b/>
          <w:color w:val="0284C7"/>
          <w:sz w:val="19"/>
        </w:rPr>
        <w:t xml:space="preserve"> [10]</w:t>
      </w:r>
      <w:r>
        <w:t xml:space="preserve">. Fine-tuning evaluation employs annotated datasets comprising 614,541 sentences for NER and 175,279 sentences for multi-label text classification </w:t>
      </w:r>
      <w:r>
        <w:rPr>
          <w:b/>
          <w:color w:val="0284C7"/>
          <w:sz w:val="19"/>
        </w:rPr>
        <w:t xml:space="preserve"> [8]</w:t>
      </w:r>
      <w:r>
        <w:t xml:space="preserve">. Performance is evaluated using Precision, Recall, and F-measure </w:t>
      </w:r>
      <w:r>
        <w:rPr>
          <w:b/>
          <w:color w:val="0284C7"/>
          <w:sz w:val="19"/>
        </w:rPr>
        <w:t xml:space="preserve"> [8]</w:t>
      </w:r>
      <w:r>
        <w:t>.</w:t>
      </w:r>
    </w:p>
    <w:p>
      <w:pPr>
        <w:spacing w:before="200" w:after="80"/>
      </w:pPr>
      <w:r>
        <w:rPr>
          <w:rFonts w:ascii="Arial" w:hAnsi="Arial"/>
          <w:b/>
          <w:color w:val="1E293B"/>
          <w:sz w:val="22"/>
        </w:rPr>
        <w:t>4. Key Findings &amp; Reported Metrics</w:t>
      </w:r>
    </w:p>
    <w:p>
      <w:pPr>
        <w:spacing w:before="40" w:after="120" w:line="276" w:lineRule="auto"/>
      </w:pPr>
      <w:r>
        <w:t>Fine-tuning results for models pre-trained from scratch on the 50MB corpus demonstrate the impact of various optimization strategies on multi-label text classification and NER:</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F2942"/>
            <w:tcMar>
              <w:top w:w="120" w:type="dxa"/>
              <w:bottom w:w="120" w:type="dxa"/>
              <w:left w:w="140" w:type="dxa"/>
              <w:right w:w="140" w:type="dxa"/>
            </w:tcMar>
          </w:tcPr>
          <w:p>
            <w:pPr>
              <w:jc w:val="left"/>
            </w:pPr>
            <w:r>
              <w:rPr>
                <w:b/>
                <w:color w:val="FFFFFF"/>
                <w:sz w:val="19"/>
              </w:rPr>
              <w:t>Pre-trained Model Configuration</w:t>
            </w:r>
          </w:p>
        </w:tc>
        <w:tc>
          <w:tcPr>
            <w:tcW w:type="dxa" w:w="1337"/>
            <w:shd w:fill="0F2942"/>
            <w:tcMar>
              <w:top w:w="120" w:type="dxa"/>
              <w:bottom w:w="120" w:type="dxa"/>
              <w:left w:w="140" w:type="dxa"/>
              <w:right w:w="140" w:type="dxa"/>
            </w:tcMar>
          </w:tcPr>
          <w:p>
            <w:pPr>
              <w:jc w:val="left"/>
            </w:pPr>
            <w:r>
              <w:rPr>
                <w:b/>
                <w:color w:val="FFFFFF"/>
                <w:sz w:val="19"/>
              </w:rPr>
              <w:t>Multi-Label Precision</w:t>
            </w:r>
          </w:p>
        </w:tc>
        <w:tc>
          <w:tcPr>
            <w:tcW w:type="dxa" w:w="1337"/>
            <w:shd w:fill="0F2942"/>
            <w:tcMar>
              <w:top w:w="120" w:type="dxa"/>
              <w:bottom w:w="120" w:type="dxa"/>
              <w:left w:w="140" w:type="dxa"/>
              <w:right w:w="140" w:type="dxa"/>
            </w:tcMar>
          </w:tcPr>
          <w:p>
            <w:pPr>
              <w:jc w:val="left"/>
            </w:pPr>
            <w:r>
              <w:rPr>
                <w:b/>
                <w:color w:val="FFFFFF"/>
                <w:sz w:val="19"/>
              </w:rPr>
              <w:t>Multi-Label Recall</w:t>
            </w:r>
          </w:p>
        </w:tc>
        <w:tc>
          <w:tcPr>
            <w:tcW w:type="dxa" w:w="1337"/>
            <w:shd w:fill="0F2942"/>
            <w:tcMar>
              <w:top w:w="120" w:type="dxa"/>
              <w:bottom w:w="120" w:type="dxa"/>
              <w:left w:w="140" w:type="dxa"/>
              <w:right w:w="140" w:type="dxa"/>
            </w:tcMar>
          </w:tcPr>
          <w:p>
            <w:pPr>
              <w:jc w:val="left"/>
            </w:pPr>
            <w:r>
              <w:rPr>
                <w:b/>
                <w:color w:val="FFFFFF"/>
                <w:sz w:val="19"/>
              </w:rPr>
              <w:t>Multi-Label F-measure</w:t>
            </w:r>
          </w:p>
        </w:tc>
        <w:tc>
          <w:tcPr>
            <w:tcW w:type="dxa" w:w="1337"/>
            <w:shd w:fill="0F2942"/>
            <w:tcMar>
              <w:top w:w="120" w:type="dxa"/>
              <w:bottom w:w="120" w:type="dxa"/>
              <w:left w:w="140" w:type="dxa"/>
              <w:right w:w="140" w:type="dxa"/>
            </w:tcMar>
          </w:tcPr>
          <w:p>
            <w:pPr>
              <w:jc w:val="left"/>
            </w:pPr>
            <w:r>
              <w:rPr>
                <w:b/>
                <w:color w:val="FFFFFF"/>
                <w:sz w:val="19"/>
              </w:rPr>
              <w:t>NER Precision</w:t>
            </w:r>
          </w:p>
        </w:tc>
        <w:tc>
          <w:tcPr>
            <w:tcW w:type="dxa" w:w="1337"/>
            <w:shd w:fill="0F2942"/>
            <w:tcMar>
              <w:top w:w="120" w:type="dxa"/>
              <w:bottom w:w="120" w:type="dxa"/>
              <w:left w:w="140" w:type="dxa"/>
              <w:right w:w="140" w:type="dxa"/>
            </w:tcMar>
          </w:tcPr>
          <w:p>
            <w:pPr>
              <w:jc w:val="left"/>
            </w:pPr>
            <w:r>
              <w:rPr>
                <w:b/>
                <w:color w:val="FFFFFF"/>
                <w:sz w:val="19"/>
              </w:rPr>
              <w:t>NER Recall</w:t>
            </w:r>
          </w:p>
        </w:tc>
        <w:tc>
          <w:tcPr>
            <w:tcW w:type="dxa" w:w="1337"/>
            <w:shd w:fill="0F2942"/>
            <w:tcMar>
              <w:top w:w="120" w:type="dxa"/>
              <w:bottom w:w="120" w:type="dxa"/>
              <w:left w:w="140" w:type="dxa"/>
              <w:right w:w="140" w:type="dxa"/>
            </w:tcMar>
          </w:tcPr>
          <w:p>
            <w:pPr>
              <w:jc w:val="left"/>
            </w:pPr>
            <w:r>
              <w:rPr>
                <w:b/>
                <w:color w:val="FFFFFF"/>
                <w:sz w:val="19"/>
              </w:rPr>
              <w:t>NER F-measure</w:t>
            </w:r>
          </w:p>
        </w:tc>
      </w:tr>
      <w:tr>
        <w:tc>
          <w:tcPr>
            <w:tcW w:type="dxa" w:w="1337"/>
            <w:shd w:fill="F8FAFC"/>
            <w:tcMar>
              <w:top w:w="100" w:type="dxa"/>
              <w:bottom w:w="100" w:type="dxa"/>
              <w:left w:w="140" w:type="dxa"/>
              <w:right w:w="140" w:type="dxa"/>
            </w:tcMar>
          </w:tcPr>
          <w:p>
            <w:pPr>
              <w:jc w:val="left"/>
            </w:pPr>
            <w:r>
              <w:rPr>
                <w:b/>
                <w:color w:val="1E293B"/>
                <w:sz w:val="19"/>
              </w:rPr>
              <w:t>Original BERT: NSP_MLM_80_10_10</w:t>
            </w:r>
            <w:r>
              <w:rPr>
                <w:color w:val="1E293B"/>
                <w:sz w:val="19"/>
              </w:rPr>
              <w:t xml:space="preserve"> </w:t>
            </w:r>
            <w:r>
              <w:rPr>
                <w:b/>
                <w:color w:val="1E293B"/>
                <w:sz w:val="19"/>
              </w:rPr>
              <w:t xml:space="preserve"> [9]</w:t>
            </w:r>
          </w:p>
        </w:tc>
        <w:tc>
          <w:tcPr>
            <w:tcW w:type="dxa" w:w="1337"/>
            <w:shd w:fill="F8FAFC"/>
            <w:tcMar>
              <w:top w:w="100" w:type="dxa"/>
              <w:bottom w:w="100" w:type="dxa"/>
              <w:left w:w="140" w:type="dxa"/>
              <w:right w:w="140" w:type="dxa"/>
            </w:tcMar>
          </w:tcPr>
          <w:p>
            <w:pPr>
              <w:jc w:val="left"/>
            </w:pPr>
            <w:r>
              <w:rPr>
                <w:color w:val="1E293B"/>
                <w:sz w:val="19"/>
              </w:rPr>
              <w:t>84.36</w:t>
            </w:r>
          </w:p>
        </w:tc>
        <w:tc>
          <w:tcPr>
            <w:tcW w:type="dxa" w:w="1337"/>
            <w:shd w:fill="F8FAFC"/>
            <w:tcMar>
              <w:top w:w="100" w:type="dxa"/>
              <w:bottom w:w="100" w:type="dxa"/>
              <w:left w:w="140" w:type="dxa"/>
              <w:right w:w="140" w:type="dxa"/>
            </w:tcMar>
          </w:tcPr>
          <w:p>
            <w:pPr>
              <w:jc w:val="left"/>
            </w:pPr>
            <w:r>
              <w:rPr>
                <w:color w:val="1E293B"/>
                <w:sz w:val="19"/>
              </w:rPr>
              <w:t>48.79</w:t>
            </w:r>
          </w:p>
        </w:tc>
        <w:tc>
          <w:tcPr>
            <w:tcW w:type="dxa" w:w="1337"/>
            <w:shd w:fill="F8FAFC"/>
            <w:tcMar>
              <w:top w:w="100" w:type="dxa"/>
              <w:bottom w:w="100" w:type="dxa"/>
              <w:left w:w="140" w:type="dxa"/>
              <w:right w:w="140" w:type="dxa"/>
            </w:tcMar>
          </w:tcPr>
          <w:p>
            <w:pPr>
              <w:jc w:val="left"/>
            </w:pPr>
            <w:r>
              <w:rPr>
                <w:color w:val="1E293B"/>
                <w:sz w:val="19"/>
              </w:rPr>
              <w:t>61.82</w:t>
            </w:r>
          </w:p>
        </w:tc>
        <w:tc>
          <w:tcPr>
            <w:tcW w:type="dxa" w:w="1337"/>
            <w:shd w:fill="F8FAFC"/>
            <w:tcMar>
              <w:top w:w="100" w:type="dxa"/>
              <w:bottom w:w="100" w:type="dxa"/>
              <w:left w:w="140" w:type="dxa"/>
              <w:right w:w="140" w:type="dxa"/>
            </w:tcMar>
          </w:tcPr>
          <w:p>
            <w:pPr>
              <w:jc w:val="left"/>
            </w:pPr>
            <w:r>
              <w:rPr>
                <w:color w:val="1E293B"/>
                <w:sz w:val="19"/>
              </w:rPr>
              <w:t>50.77</w:t>
            </w:r>
          </w:p>
        </w:tc>
        <w:tc>
          <w:tcPr>
            <w:tcW w:type="dxa" w:w="1337"/>
            <w:shd w:fill="F8FAFC"/>
            <w:tcMar>
              <w:top w:w="100" w:type="dxa"/>
              <w:bottom w:w="100" w:type="dxa"/>
              <w:left w:w="140" w:type="dxa"/>
              <w:right w:w="140" w:type="dxa"/>
            </w:tcMar>
          </w:tcPr>
          <w:p>
            <w:pPr>
              <w:jc w:val="left"/>
            </w:pPr>
            <w:r>
              <w:rPr>
                <w:color w:val="1E293B"/>
                <w:sz w:val="19"/>
              </w:rPr>
              <w:t>73.53</w:t>
            </w:r>
          </w:p>
        </w:tc>
        <w:tc>
          <w:tcPr>
            <w:tcW w:type="dxa" w:w="1337"/>
            <w:shd w:fill="F8FAFC"/>
            <w:tcMar>
              <w:top w:w="100" w:type="dxa"/>
              <w:bottom w:w="100" w:type="dxa"/>
              <w:left w:w="140" w:type="dxa"/>
              <w:right w:w="140" w:type="dxa"/>
            </w:tcMar>
          </w:tcPr>
          <w:p>
            <w:pPr>
              <w:jc w:val="left"/>
            </w:pPr>
            <w:r>
              <w:rPr>
                <w:color w:val="1E293B"/>
                <w:sz w:val="19"/>
              </w:rPr>
              <w:t>60.07</w:t>
            </w:r>
          </w:p>
        </w:tc>
      </w:tr>
      <w:tr>
        <w:tc>
          <w:tcPr>
            <w:tcW w:type="dxa" w:w="1337"/>
            <w:shd w:fill="FFFFFF"/>
            <w:tcMar>
              <w:top w:w="100" w:type="dxa"/>
              <w:bottom w:w="100" w:type="dxa"/>
              <w:left w:w="140" w:type="dxa"/>
              <w:right w:w="140" w:type="dxa"/>
            </w:tcMar>
          </w:tcPr>
          <w:p>
            <w:pPr>
              <w:jc w:val="left"/>
            </w:pPr>
            <w:r>
              <w:rPr>
                <w:b/>
                <w:color w:val="1E293B"/>
                <w:sz w:val="19"/>
              </w:rPr>
              <w:t>SOP_MLM_80_10_10</w:t>
            </w:r>
            <w:r>
              <w:rPr>
                <w:color w:val="1E293B"/>
                <w:sz w:val="19"/>
              </w:rPr>
              <w:t xml:space="preserve"> </w:t>
            </w:r>
            <w:r>
              <w:rPr>
                <w:b/>
                <w:color w:val="1E293B"/>
                <w:sz w:val="19"/>
              </w:rPr>
              <w:t xml:space="preserve"> [9]</w:t>
            </w:r>
          </w:p>
        </w:tc>
        <w:tc>
          <w:tcPr>
            <w:tcW w:type="dxa" w:w="1337"/>
            <w:shd w:fill="FFFFFF"/>
            <w:tcMar>
              <w:top w:w="100" w:type="dxa"/>
              <w:bottom w:w="100" w:type="dxa"/>
              <w:left w:w="140" w:type="dxa"/>
              <w:right w:w="140" w:type="dxa"/>
            </w:tcMar>
          </w:tcPr>
          <w:p>
            <w:pPr>
              <w:jc w:val="left"/>
            </w:pPr>
            <w:r>
              <w:rPr>
                <w:color w:val="1E293B"/>
                <w:sz w:val="19"/>
              </w:rPr>
              <w:t>84.93</w:t>
            </w:r>
          </w:p>
        </w:tc>
        <w:tc>
          <w:tcPr>
            <w:tcW w:type="dxa" w:w="1337"/>
            <w:shd w:fill="FFFFFF"/>
            <w:tcMar>
              <w:top w:w="100" w:type="dxa"/>
              <w:bottom w:w="100" w:type="dxa"/>
              <w:left w:w="140" w:type="dxa"/>
              <w:right w:w="140" w:type="dxa"/>
            </w:tcMar>
          </w:tcPr>
          <w:p>
            <w:pPr>
              <w:jc w:val="left"/>
            </w:pPr>
            <w:r>
              <w:rPr>
                <w:color w:val="1E293B"/>
                <w:sz w:val="19"/>
              </w:rPr>
              <w:t>54.71</w:t>
            </w:r>
          </w:p>
        </w:tc>
        <w:tc>
          <w:tcPr>
            <w:tcW w:type="dxa" w:w="1337"/>
            <w:shd w:fill="FFFFFF"/>
            <w:tcMar>
              <w:top w:w="100" w:type="dxa"/>
              <w:bottom w:w="100" w:type="dxa"/>
              <w:left w:w="140" w:type="dxa"/>
              <w:right w:w="140" w:type="dxa"/>
            </w:tcMar>
          </w:tcPr>
          <w:p>
            <w:pPr>
              <w:jc w:val="left"/>
            </w:pPr>
            <w:r>
              <w:rPr>
                <w:color w:val="1E293B"/>
                <w:sz w:val="19"/>
              </w:rPr>
              <w:t>66.55</w:t>
            </w:r>
          </w:p>
        </w:tc>
        <w:tc>
          <w:tcPr>
            <w:tcW w:type="dxa" w:w="1337"/>
            <w:shd w:fill="FFFFFF"/>
            <w:tcMar>
              <w:top w:w="100" w:type="dxa"/>
              <w:bottom w:w="100" w:type="dxa"/>
              <w:left w:w="140" w:type="dxa"/>
              <w:right w:w="140" w:type="dxa"/>
            </w:tcMar>
          </w:tcPr>
          <w:p>
            <w:pPr>
              <w:jc w:val="left"/>
            </w:pPr>
            <w:r>
              <w:rPr>
                <w:color w:val="1E293B"/>
                <w:sz w:val="19"/>
              </w:rPr>
              <w:t>51.22</w:t>
            </w:r>
          </w:p>
        </w:tc>
        <w:tc>
          <w:tcPr>
            <w:tcW w:type="dxa" w:w="1337"/>
            <w:shd w:fill="FFFFFF"/>
            <w:tcMar>
              <w:top w:w="100" w:type="dxa"/>
              <w:bottom w:w="100" w:type="dxa"/>
              <w:left w:w="140" w:type="dxa"/>
              <w:right w:w="140" w:type="dxa"/>
            </w:tcMar>
          </w:tcPr>
          <w:p>
            <w:pPr>
              <w:jc w:val="left"/>
            </w:pPr>
            <w:r>
              <w:rPr>
                <w:color w:val="1E293B"/>
                <w:sz w:val="19"/>
              </w:rPr>
              <w:t>73.93</w:t>
            </w:r>
          </w:p>
        </w:tc>
        <w:tc>
          <w:tcPr>
            <w:tcW w:type="dxa" w:w="1337"/>
            <w:shd w:fill="FFFFFF"/>
            <w:tcMar>
              <w:top w:w="100" w:type="dxa"/>
              <w:bottom w:w="100" w:type="dxa"/>
              <w:left w:w="140" w:type="dxa"/>
              <w:right w:w="140" w:type="dxa"/>
            </w:tcMar>
          </w:tcPr>
          <w:p>
            <w:pPr>
              <w:jc w:val="left"/>
            </w:pPr>
            <w:r>
              <w:rPr>
                <w:color w:val="1E293B"/>
                <w:sz w:val="19"/>
              </w:rPr>
              <w:t>60.51</w:t>
            </w:r>
          </w:p>
        </w:tc>
      </w:tr>
      <w:tr>
        <w:tc>
          <w:tcPr>
            <w:tcW w:type="dxa" w:w="1337"/>
            <w:shd w:fill="F8FAFC"/>
            <w:tcMar>
              <w:top w:w="100" w:type="dxa"/>
              <w:bottom w:w="100" w:type="dxa"/>
              <w:left w:w="140" w:type="dxa"/>
              <w:right w:w="140" w:type="dxa"/>
            </w:tcMar>
          </w:tcPr>
          <w:p>
            <w:pPr>
              <w:jc w:val="left"/>
            </w:pPr>
            <w:r>
              <w:rPr>
                <w:b/>
                <w:color w:val="1E293B"/>
                <w:sz w:val="19"/>
              </w:rPr>
              <w:t>MLM_80_10_10</w:t>
            </w:r>
            <w:r>
              <w:rPr>
                <w:color w:val="1E293B"/>
                <w:sz w:val="19"/>
              </w:rPr>
              <w:t xml:space="preserve"> </w:t>
            </w:r>
            <w:r>
              <w:rPr>
                <w:b/>
                <w:color w:val="1E293B"/>
                <w:sz w:val="19"/>
              </w:rPr>
              <w:t xml:space="preserve"> [9]</w:t>
            </w:r>
          </w:p>
        </w:tc>
        <w:tc>
          <w:tcPr>
            <w:tcW w:type="dxa" w:w="1337"/>
            <w:shd w:fill="F8FAFC"/>
            <w:tcMar>
              <w:top w:w="100" w:type="dxa"/>
              <w:bottom w:w="100" w:type="dxa"/>
              <w:left w:w="140" w:type="dxa"/>
              <w:right w:w="140" w:type="dxa"/>
            </w:tcMar>
          </w:tcPr>
          <w:p>
            <w:pPr>
              <w:jc w:val="left"/>
            </w:pPr>
            <w:r>
              <w:rPr>
                <w:color w:val="1E293B"/>
                <w:sz w:val="19"/>
              </w:rPr>
              <w:t>86.18</w:t>
            </w:r>
          </w:p>
        </w:tc>
        <w:tc>
          <w:tcPr>
            <w:tcW w:type="dxa" w:w="1337"/>
            <w:shd w:fill="F8FAFC"/>
            <w:tcMar>
              <w:top w:w="100" w:type="dxa"/>
              <w:bottom w:w="100" w:type="dxa"/>
              <w:left w:w="140" w:type="dxa"/>
              <w:right w:w="140" w:type="dxa"/>
            </w:tcMar>
          </w:tcPr>
          <w:p>
            <w:pPr>
              <w:jc w:val="left"/>
            </w:pPr>
            <w:r>
              <w:rPr>
                <w:color w:val="1E293B"/>
                <w:sz w:val="19"/>
              </w:rPr>
              <w:t>61.88</w:t>
            </w:r>
          </w:p>
        </w:tc>
        <w:tc>
          <w:tcPr>
            <w:tcW w:type="dxa" w:w="1337"/>
            <w:shd w:fill="F8FAFC"/>
            <w:tcMar>
              <w:top w:w="100" w:type="dxa"/>
              <w:bottom w:w="100" w:type="dxa"/>
              <w:left w:w="140" w:type="dxa"/>
              <w:right w:w="140" w:type="dxa"/>
            </w:tcMar>
          </w:tcPr>
          <w:p>
            <w:pPr>
              <w:jc w:val="left"/>
            </w:pPr>
            <w:r>
              <w:rPr>
                <w:color w:val="1E293B"/>
                <w:sz w:val="19"/>
              </w:rPr>
              <w:t>72.03</w:t>
            </w:r>
          </w:p>
        </w:tc>
        <w:tc>
          <w:tcPr>
            <w:tcW w:type="dxa" w:w="1337"/>
            <w:shd w:fill="F8FAFC"/>
            <w:tcMar>
              <w:top w:w="100" w:type="dxa"/>
              <w:bottom w:w="100" w:type="dxa"/>
              <w:left w:w="140" w:type="dxa"/>
              <w:right w:w="140" w:type="dxa"/>
            </w:tcMar>
          </w:tcPr>
          <w:p>
            <w:pPr>
              <w:jc w:val="left"/>
            </w:pPr>
            <w:r>
              <w:rPr>
                <w:color w:val="1E293B"/>
                <w:sz w:val="19"/>
              </w:rPr>
              <w:t>70.33</w:t>
            </w:r>
          </w:p>
        </w:tc>
        <w:tc>
          <w:tcPr>
            <w:tcW w:type="dxa" w:w="1337"/>
            <w:shd w:fill="F8FAFC"/>
            <w:tcMar>
              <w:top w:w="100" w:type="dxa"/>
              <w:bottom w:w="100" w:type="dxa"/>
              <w:left w:w="140" w:type="dxa"/>
              <w:right w:w="140" w:type="dxa"/>
            </w:tcMar>
          </w:tcPr>
          <w:p>
            <w:pPr>
              <w:jc w:val="left"/>
            </w:pPr>
            <w:r>
              <w:rPr>
                <w:color w:val="1E293B"/>
                <w:sz w:val="19"/>
              </w:rPr>
              <w:t>82.33</w:t>
            </w:r>
          </w:p>
        </w:tc>
        <w:tc>
          <w:tcPr>
            <w:tcW w:type="dxa" w:w="1337"/>
            <w:shd w:fill="F8FAFC"/>
            <w:tcMar>
              <w:top w:w="100" w:type="dxa"/>
              <w:bottom w:w="100" w:type="dxa"/>
              <w:left w:w="140" w:type="dxa"/>
              <w:right w:w="140" w:type="dxa"/>
            </w:tcMar>
          </w:tcPr>
          <w:p>
            <w:pPr>
              <w:jc w:val="left"/>
            </w:pPr>
            <w:r>
              <w:rPr>
                <w:color w:val="1E293B"/>
                <w:sz w:val="19"/>
              </w:rPr>
              <w:t>75.86</w:t>
            </w:r>
          </w:p>
        </w:tc>
      </w:tr>
      <w:tr>
        <w:tc>
          <w:tcPr>
            <w:tcW w:type="dxa" w:w="1337"/>
            <w:shd w:fill="FFFFFF"/>
            <w:tcMar>
              <w:top w:w="100" w:type="dxa"/>
              <w:bottom w:w="100" w:type="dxa"/>
              <w:left w:w="140" w:type="dxa"/>
              <w:right w:w="140" w:type="dxa"/>
            </w:tcMar>
          </w:tcPr>
          <w:p>
            <w:pPr>
              <w:jc w:val="left"/>
            </w:pPr>
            <w:r>
              <w:rPr>
                <w:b/>
                <w:color w:val="1E293B"/>
                <w:sz w:val="19"/>
              </w:rPr>
              <w:t>MLM_80_0_20</w:t>
            </w:r>
            <w:r>
              <w:rPr>
                <w:color w:val="1E293B"/>
                <w:sz w:val="19"/>
              </w:rPr>
              <w:t xml:space="preserve"> </w:t>
            </w:r>
            <w:r>
              <w:rPr>
                <w:b/>
                <w:color w:val="1E293B"/>
                <w:sz w:val="19"/>
              </w:rPr>
              <w:t xml:space="preserve"> [9]</w:t>
            </w:r>
          </w:p>
        </w:tc>
        <w:tc>
          <w:tcPr>
            <w:tcW w:type="dxa" w:w="1337"/>
            <w:shd w:fill="FFFFFF"/>
            <w:tcMar>
              <w:top w:w="100" w:type="dxa"/>
              <w:bottom w:w="100" w:type="dxa"/>
              <w:left w:w="140" w:type="dxa"/>
              <w:right w:w="140" w:type="dxa"/>
            </w:tcMar>
          </w:tcPr>
          <w:p>
            <w:pPr>
              <w:jc w:val="left"/>
            </w:pPr>
            <w:r>
              <w:rPr>
                <w:color w:val="1E293B"/>
                <w:sz w:val="19"/>
              </w:rPr>
              <w:t>86.31</w:t>
            </w:r>
          </w:p>
        </w:tc>
        <w:tc>
          <w:tcPr>
            <w:tcW w:type="dxa" w:w="1337"/>
            <w:shd w:fill="FFFFFF"/>
            <w:tcMar>
              <w:top w:w="100" w:type="dxa"/>
              <w:bottom w:w="100" w:type="dxa"/>
              <w:left w:w="140" w:type="dxa"/>
              <w:right w:w="140" w:type="dxa"/>
            </w:tcMar>
          </w:tcPr>
          <w:p>
            <w:pPr>
              <w:jc w:val="left"/>
            </w:pPr>
            <w:r>
              <w:rPr>
                <w:color w:val="1E293B"/>
                <w:sz w:val="19"/>
              </w:rPr>
              <w:t>60.05</w:t>
            </w:r>
          </w:p>
        </w:tc>
        <w:tc>
          <w:tcPr>
            <w:tcW w:type="dxa" w:w="1337"/>
            <w:shd w:fill="FFFFFF"/>
            <w:tcMar>
              <w:top w:w="100" w:type="dxa"/>
              <w:bottom w:w="100" w:type="dxa"/>
              <w:left w:w="140" w:type="dxa"/>
              <w:right w:w="140" w:type="dxa"/>
            </w:tcMar>
          </w:tcPr>
          <w:p>
            <w:pPr>
              <w:jc w:val="left"/>
            </w:pPr>
            <w:r>
              <w:rPr>
                <w:color w:val="1E293B"/>
                <w:sz w:val="19"/>
              </w:rPr>
              <w:t>70.82</w:t>
            </w:r>
          </w:p>
        </w:tc>
        <w:tc>
          <w:tcPr>
            <w:tcW w:type="dxa" w:w="1337"/>
            <w:shd w:fill="FFFFFF"/>
            <w:tcMar>
              <w:top w:w="100" w:type="dxa"/>
              <w:bottom w:w="100" w:type="dxa"/>
              <w:left w:w="140" w:type="dxa"/>
              <w:right w:w="140" w:type="dxa"/>
            </w:tcMar>
          </w:tcPr>
          <w:p>
            <w:pPr>
              <w:jc w:val="left"/>
            </w:pPr>
            <w:r>
              <w:rPr>
                <w:color w:val="1E293B"/>
                <w:sz w:val="19"/>
              </w:rPr>
              <w:t>71.85</w:t>
            </w:r>
          </w:p>
        </w:tc>
        <w:tc>
          <w:tcPr>
            <w:tcW w:type="dxa" w:w="1337"/>
            <w:shd w:fill="FFFFFF"/>
            <w:tcMar>
              <w:top w:w="100" w:type="dxa"/>
              <w:bottom w:w="100" w:type="dxa"/>
              <w:left w:w="140" w:type="dxa"/>
              <w:right w:w="140" w:type="dxa"/>
            </w:tcMar>
          </w:tcPr>
          <w:p>
            <w:pPr>
              <w:jc w:val="left"/>
            </w:pPr>
            <w:r>
              <w:rPr>
                <w:color w:val="1E293B"/>
                <w:sz w:val="19"/>
              </w:rPr>
              <w:t>83.47</w:t>
            </w:r>
          </w:p>
        </w:tc>
        <w:tc>
          <w:tcPr>
            <w:tcW w:type="dxa" w:w="1337"/>
            <w:shd w:fill="FFFFFF"/>
            <w:tcMar>
              <w:top w:w="100" w:type="dxa"/>
              <w:bottom w:w="100" w:type="dxa"/>
              <w:left w:w="140" w:type="dxa"/>
              <w:right w:w="140" w:type="dxa"/>
            </w:tcMar>
          </w:tcPr>
          <w:p>
            <w:pPr>
              <w:jc w:val="left"/>
            </w:pPr>
            <w:r>
              <w:rPr>
                <w:color w:val="1E293B"/>
                <w:sz w:val="19"/>
              </w:rPr>
              <w:t>77.23</w:t>
            </w:r>
          </w:p>
        </w:tc>
      </w:tr>
      <w:tr>
        <w:tc>
          <w:tcPr>
            <w:tcW w:type="dxa" w:w="1337"/>
            <w:shd w:fill="F8FAFC"/>
            <w:tcMar>
              <w:top w:w="100" w:type="dxa"/>
              <w:bottom w:w="100" w:type="dxa"/>
              <w:left w:w="140" w:type="dxa"/>
              <w:right w:w="140" w:type="dxa"/>
            </w:tcMar>
          </w:tcPr>
          <w:p>
            <w:pPr>
              <w:jc w:val="left"/>
            </w:pPr>
            <w:r>
              <w:rPr>
                <w:b/>
                <w:color w:val="1E293B"/>
                <w:sz w:val="19"/>
              </w:rPr>
              <w:t>MLM_80_(10_TF_IDF)_10</w:t>
            </w:r>
            <w:r>
              <w:rPr>
                <w:color w:val="1E293B"/>
                <w:sz w:val="19"/>
              </w:rPr>
              <w:t xml:space="preserve"> </w:t>
            </w:r>
            <w:r>
              <w:rPr>
                <w:b/>
                <w:color w:val="1E293B"/>
                <w:sz w:val="19"/>
              </w:rPr>
              <w:t xml:space="preserve"> [9]</w:t>
            </w:r>
          </w:p>
        </w:tc>
        <w:tc>
          <w:tcPr>
            <w:tcW w:type="dxa" w:w="1337"/>
            <w:shd w:fill="F8FAFC"/>
            <w:tcMar>
              <w:top w:w="100" w:type="dxa"/>
              <w:bottom w:w="100" w:type="dxa"/>
              <w:left w:w="140" w:type="dxa"/>
              <w:right w:w="140" w:type="dxa"/>
            </w:tcMar>
          </w:tcPr>
          <w:p>
            <w:pPr>
              <w:jc w:val="left"/>
            </w:pPr>
            <w:r>
              <w:rPr>
                <w:color w:val="1E293B"/>
                <w:sz w:val="19"/>
              </w:rPr>
              <w:t>86.59</w:t>
            </w:r>
          </w:p>
        </w:tc>
        <w:tc>
          <w:tcPr>
            <w:tcW w:type="dxa" w:w="1337"/>
            <w:shd w:fill="F8FAFC"/>
            <w:tcMar>
              <w:top w:w="100" w:type="dxa"/>
              <w:bottom w:w="100" w:type="dxa"/>
              <w:left w:w="140" w:type="dxa"/>
              <w:right w:w="140" w:type="dxa"/>
            </w:tcMar>
          </w:tcPr>
          <w:p>
            <w:pPr>
              <w:jc w:val="left"/>
            </w:pPr>
            <w:r>
              <w:rPr>
                <w:color w:val="1E293B"/>
                <w:sz w:val="19"/>
              </w:rPr>
              <w:t>61.75</w:t>
            </w:r>
          </w:p>
        </w:tc>
        <w:tc>
          <w:tcPr>
            <w:tcW w:type="dxa" w:w="1337"/>
            <w:shd w:fill="F8FAFC"/>
            <w:tcMar>
              <w:top w:w="100" w:type="dxa"/>
              <w:bottom w:w="100" w:type="dxa"/>
              <w:left w:w="140" w:type="dxa"/>
              <w:right w:w="140" w:type="dxa"/>
            </w:tcMar>
          </w:tcPr>
          <w:p>
            <w:pPr>
              <w:jc w:val="left"/>
            </w:pPr>
            <w:r>
              <w:rPr>
                <w:color w:val="1E293B"/>
                <w:sz w:val="19"/>
              </w:rPr>
              <w:t>72.09</w:t>
            </w:r>
          </w:p>
        </w:tc>
        <w:tc>
          <w:tcPr>
            <w:tcW w:type="dxa" w:w="1337"/>
            <w:shd w:fill="F8FAFC"/>
            <w:tcMar>
              <w:top w:w="100" w:type="dxa"/>
              <w:bottom w:w="100" w:type="dxa"/>
              <w:left w:w="140" w:type="dxa"/>
              <w:right w:w="140" w:type="dxa"/>
            </w:tcMar>
          </w:tcPr>
          <w:p>
            <w:pPr>
              <w:jc w:val="left"/>
            </w:pPr>
            <w:r>
              <w:rPr>
                <w:color w:val="1E293B"/>
                <w:sz w:val="19"/>
              </w:rPr>
              <w:t>68.73</w:t>
            </w:r>
          </w:p>
        </w:tc>
        <w:tc>
          <w:tcPr>
            <w:tcW w:type="dxa" w:w="1337"/>
            <w:shd w:fill="F8FAFC"/>
            <w:tcMar>
              <w:top w:w="100" w:type="dxa"/>
              <w:bottom w:w="100" w:type="dxa"/>
              <w:left w:w="140" w:type="dxa"/>
              <w:right w:w="140" w:type="dxa"/>
            </w:tcMar>
          </w:tcPr>
          <w:p>
            <w:pPr>
              <w:jc w:val="left"/>
            </w:pPr>
            <w:r>
              <w:rPr>
                <w:color w:val="1E293B"/>
                <w:sz w:val="19"/>
              </w:rPr>
              <w:t>81.62</w:t>
            </w:r>
          </w:p>
        </w:tc>
        <w:tc>
          <w:tcPr>
            <w:tcW w:type="dxa" w:w="1337"/>
            <w:shd w:fill="F8FAFC"/>
            <w:tcMar>
              <w:top w:w="100" w:type="dxa"/>
              <w:bottom w:w="100" w:type="dxa"/>
              <w:left w:w="140" w:type="dxa"/>
              <w:right w:w="140" w:type="dxa"/>
            </w:tcMar>
          </w:tcPr>
          <w:p>
            <w:pPr>
              <w:jc w:val="left"/>
            </w:pPr>
            <w:r>
              <w:rPr>
                <w:color w:val="1E293B"/>
                <w:sz w:val="19"/>
              </w:rPr>
              <w:t>74.62</w:t>
            </w:r>
          </w:p>
        </w:tc>
      </w:tr>
      <w:tr>
        <w:tc>
          <w:tcPr>
            <w:tcW w:type="dxa" w:w="1337"/>
            <w:shd w:fill="FFFFFF"/>
            <w:tcMar>
              <w:top w:w="100" w:type="dxa"/>
              <w:bottom w:w="100" w:type="dxa"/>
              <w:left w:w="140" w:type="dxa"/>
              <w:right w:w="140" w:type="dxa"/>
            </w:tcMar>
          </w:tcPr>
          <w:p>
            <w:pPr>
              <w:jc w:val="left"/>
            </w:pPr>
            <w:r>
              <w:rPr>
                <w:b/>
                <w:color w:val="1E293B"/>
                <w:sz w:val="19"/>
              </w:rPr>
              <w:t>MLM_80_(20_TF_IDF)_0</w:t>
            </w:r>
            <w:r>
              <w:rPr>
                <w:color w:val="1E293B"/>
                <w:sz w:val="19"/>
              </w:rPr>
              <w:t xml:space="preserve"> </w:t>
            </w:r>
            <w:r>
              <w:rPr>
                <w:b/>
                <w:color w:val="1E293B"/>
                <w:sz w:val="19"/>
              </w:rPr>
              <w:t xml:space="preserve"> [9]</w:t>
            </w:r>
          </w:p>
        </w:tc>
        <w:tc>
          <w:tcPr>
            <w:tcW w:type="dxa" w:w="1337"/>
            <w:shd w:fill="FFFFFF"/>
            <w:tcMar>
              <w:top w:w="100" w:type="dxa"/>
              <w:bottom w:w="100" w:type="dxa"/>
              <w:left w:w="140" w:type="dxa"/>
              <w:right w:w="140" w:type="dxa"/>
            </w:tcMar>
          </w:tcPr>
          <w:p>
            <w:pPr>
              <w:jc w:val="left"/>
            </w:pPr>
            <w:r>
              <w:rPr>
                <w:color w:val="1E293B"/>
                <w:sz w:val="19"/>
              </w:rPr>
              <w:t>86.61</w:t>
            </w:r>
          </w:p>
        </w:tc>
        <w:tc>
          <w:tcPr>
            <w:tcW w:type="dxa" w:w="1337"/>
            <w:shd w:fill="FFFFFF"/>
            <w:tcMar>
              <w:top w:w="100" w:type="dxa"/>
              <w:bottom w:w="100" w:type="dxa"/>
              <w:left w:w="140" w:type="dxa"/>
              <w:right w:w="140" w:type="dxa"/>
            </w:tcMar>
          </w:tcPr>
          <w:p>
            <w:pPr>
              <w:jc w:val="left"/>
            </w:pPr>
            <w:r>
              <w:rPr>
                <w:color w:val="1E293B"/>
                <w:sz w:val="19"/>
              </w:rPr>
              <w:t>61.83</w:t>
            </w:r>
          </w:p>
        </w:tc>
        <w:tc>
          <w:tcPr>
            <w:tcW w:type="dxa" w:w="1337"/>
            <w:shd w:fill="FFFFFF"/>
            <w:tcMar>
              <w:top w:w="100" w:type="dxa"/>
              <w:bottom w:w="100" w:type="dxa"/>
              <w:left w:w="140" w:type="dxa"/>
              <w:right w:w="140" w:type="dxa"/>
            </w:tcMar>
          </w:tcPr>
          <w:p>
            <w:pPr>
              <w:jc w:val="left"/>
            </w:pPr>
            <w:r>
              <w:rPr>
                <w:color w:val="1E293B"/>
                <w:sz w:val="19"/>
              </w:rPr>
              <w:t>72.15</w:t>
            </w:r>
          </w:p>
        </w:tc>
        <w:tc>
          <w:tcPr>
            <w:tcW w:type="dxa" w:w="1337"/>
            <w:shd w:fill="FFFFFF"/>
            <w:tcMar>
              <w:top w:w="100" w:type="dxa"/>
              <w:bottom w:w="100" w:type="dxa"/>
              <w:left w:w="140" w:type="dxa"/>
              <w:right w:w="140" w:type="dxa"/>
            </w:tcMar>
          </w:tcPr>
          <w:p>
            <w:pPr>
              <w:jc w:val="left"/>
            </w:pPr>
            <w:r>
              <w:rPr>
                <w:color w:val="1E293B"/>
                <w:sz w:val="19"/>
              </w:rPr>
              <w:t>67.53</w:t>
            </w:r>
          </w:p>
        </w:tc>
        <w:tc>
          <w:tcPr>
            <w:tcW w:type="dxa" w:w="1337"/>
            <w:shd w:fill="FFFFFF"/>
            <w:tcMar>
              <w:top w:w="100" w:type="dxa"/>
              <w:bottom w:w="100" w:type="dxa"/>
              <w:left w:w="140" w:type="dxa"/>
              <w:right w:w="140" w:type="dxa"/>
            </w:tcMar>
          </w:tcPr>
          <w:p>
            <w:pPr>
              <w:jc w:val="left"/>
            </w:pPr>
            <w:r>
              <w:rPr>
                <w:color w:val="1E293B"/>
                <w:sz w:val="19"/>
              </w:rPr>
              <w:t>81.15</w:t>
            </w:r>
          </w:p>
        </w:tc>
        <w:tc>
          <w:tcPr>
            <w:tcW w:type="dxa" w:w="1337"/>
            <w:shd w:fill="FFFFFF"/>
            <w:tcMar>
              <w:top w:w="100" w:type="dxa"/>
              <w:bottom w:w="100" w:type="dxa"/>
              <w:left w:w="140" w:type="dxa"/>
              <w:right w:w="140" w:type="dxa"/>
            </w:tcMar>
          </w:tcPr>
          <w:p>
            <w:pPr>
              <w:jc w:val="left"/>
            </w:pPr>
            <w:r>
              <w:rPr>
                <w:color w:val="1E293B"/>
                <w:sz w:val="19"/>
              </w:rPr>
              <w:t>73.72</w:t>
            </w:r>
          </w:p>
        </w:tc>
      </w:tr>
    </w:tbl>
    <w:p>
      <w:pPr>
        <w:spacing w:after="120"/>
      </w:pPr>
    </w:p>
    <w:p>
      <w:pPr>
        <w:spacing w:before="200" w:after="80"/>
      </w:pPr>
      <w:r>
        <w:rPr>
          <w:rFonts w:ascii="Arial" w:hAnsi="Arial"/>
          <w:b/>
          <w:color w:val="1E293B"/>
          <w:sz w:val="22"/>
        </w:rPr>
        <w:t>5. Limitations &amp; Open Questions</w:t>
      </w:r>
    </w:p>
    <w:p>
      <w:pPr>
        <w:spacing w:before="40" w:after="120" w:line="276" w:lineRule="auto"/>
      </w:pPr>
      <w:r>
        <w:t xml:space="preserve">Author-stated limitations include the use of legal text extracted solely from publicly available theses rather than direct legal professionals' files due to sensitivity constraints </w:t>
      </w:r>
      <w:r>
        <w:rPr>
          <w:b/>
          <w:color w:val="0284C7"/>
          <w:sz w:val="19"/>
        </w:rPr>
        <w:t xml:space="preserve"> [10]</w:t>
      </w:r>
      <w:r>
        <w:t xml:space="preserve">. Additionally, models were trained for only a single epoch, TF-IDF enhancements focused on tokens rather than whole words, and scope was restricted to Turkish legal text and two downstream tasks </w:t>
      </w:r>
      <w:r>
        <w:rPr>
          <w:b/>
          <w:color w:val="0284C7"/>
          <w:sz w:val="19"/>
        </w:rPr>
        <w:t xml:space="preserve"> [10]</w:t>
      </w:r>
      <w:r>
        <w:t xml:space="preserve">. Future plans involve multi-epoch training, whole-word TF-IDF adaptation, broader downstream tasks (such as question answering), and larger multilingual or domain-specific corpora </w:t>
      </w:r>
      <w:r>
        <w:rPr>
          <w:b/>
          <w:color w:val="0284C7"/>
          <w:sz w:val="19"/>
        </w:rPr>
        <w:t xml:space="preserve"> [10]</w:t>
      </w:r>
      <w:r>
        <w:t>.</w:t>
      </w:r>
    </w:p>
    <w:p>
      <w:pPr>
        <w:spacing w:before="200" w:after="80"/>
      </w:pPr>
      <w:r>
        <w:rPr>
          <w:rFonts w:ascii="Arial" w:hAnsi="Arial"/>
          <w:b/>
          <w:color w:val="1E293B"/>
          <w:sz w:val="22"/>
        </w:rPr>
        <w:t>1. Core Problem &amp; Objective</w:t>
      </w:r>
    </w:p>
    <w:p>
      <w:pPr>
        <w:spacing w:before="40" w:after="120" w:line="276" w:lineRule="auto"/>
      </w:pPr>
      <w:r>
        <w:t>The paper investigates the average dimension of 2-Selmer groups of elliptic curves over multiquadratic extensions (</w:t>
      </w:r>
      <w:r>
        <w:rPr>
          <w:rFonts w:ascii="Cambria Math" w:hAnsi="Cambria Math"/>
          <w:i/>
          <w:color w:val="0F2942"/>
        </w:rPr>
        <w:t xml:space="preserve"> K/mathbbQ </w:t>
      </w:r>
      <w:r>
        <w:t xml:space="preserve">) ordered by naive height </w:t>
      </w:r>
      <w:r>
        <w:rPr>
          <w:b/>
          <w:color w:val="0284C7"/>
          <w:sz w:val="19"/>
        </w:rPr>
        <w:t xml:space="preserve"> [11, 13]</w:t>
      </w:r>
      <w:r>
        <w:t xml:space="preserve">. The objective is to establish upper and lower bounds for these average ranks and explore the genus theory invariant for 2-Selmer groups </w:t>
      </w:r>
      <w:r>
        <w:rPr>
          <w:b/>
          <w:color w:val="0284C7"/>
          <w:sz w:val="19"/>
        </w:rPr>
        <w:t xml:space="preserve"> [11, 13]</w:t>
      </w:r>
      <w:r>
        <w:t>.</w:t>
      </w:r>
    </w:p>
    <w:p>
      <w:pPr>
        <w:spacing w:before="200" w:after="80"/>
      </w:pPr>
      <w:r>
        <w:rPr>
          <w:rFonts w:ascii="Arial" w:hAnsi="Arial"/>
          <w:b/>
          <w:color w:val="1E293B"/>
          <w:sz w:val="22"/>
        </w:rPr>
        <w:t>2. Methodology &amp; Architecture</w:t>
      </w:r>
    </w:p>
    <w:p>
      <w:pPr>
        <w:spacing w:before="40" w:after="120" w:line="276" w:lineRule="auto"/>
      </w:pPr>
      <w:r>
        <w:t xml:space="preserve">The study utilizes a variant of the Ekedahl sieve for local sums, systematic studies of local norm indices in multiquadratic extensions, and lattice-counting results to convert the average of the genus theory into a sum of </w:t>
      </w:r>
      <w:r>
        <w:rPr>
          <w:rFonts w:ascii="Cambria Math" w:hAnsi="Cambria Math"/>
          <w:i/>
          <w:color w:val="0F2942"/>
        </w:rPr>
        <w:t xml:space="preserve"> p </w:t>
      </w:r>
      <w:r>
        <w:t xml:space="preserve">-adic integrals of local norm indices </w:t>
      </w:r>
      <w:r>
        <w:rPr>
          <w:b/>
          <w:color w:val="0284C7"/>
          <w:sz w:val="19"/>
        </w:rPr>
        <w:t xml:space="preserve"> [13, 14]</w:t>
      </w:r>
      <w:r>
        <w:t>.</w:t>
      </w:r>
    </w:p>
    <w:p>
      <w:pPr>
        <w:spacing w:before="200" w:after="80"/>
      </w:pPr>
      <w:r>
        <w:rPr>
          <w:rFonts w:ascii="Arial" w:hAnsi="Arial"/>
          <w:b/>
          <w:color w:val="1E293B"/>
          <w:sz w:val="22"/>
        </w:rPr>
        <w:t>3. Experimental Setup &amp; Datasets</w:t>
      </w:r>
    </w:p>
    <w:p>
      <w:pPr>
        <w:spacing w:before="40" w:after="120" w:line="276" w:lineRule="auto"/>
      </w:pPr>
      <w:r>
        <w:t xml:space="preserve">As a theoretical mathematical study, it employs analytic number theory frameworks, asymptotic limits as height </w:t>
      </w:r>
      <w:r>
        <w:rPr>
          <w:rFonts w:ascii="Cambria Math" w:hAnsi="Cambria Math"/>
          <w:i/>
          <w:color w:val="0F2942"/>
        </w:rPr>
        <w:t xml:space="preserve"> X to ∞ </w:t>
      </w:r>
      <w:r>
        <w:t xml:space="preserve">, and local analysis of elliptic curves over number fields complying with residue characteristics (e.g., </w:t>
      </w:r>
      <w:r>
        <w:rPr>
          <w:rFonts w:ascii="Cambria Math" w:hAnsi="Cambria Math"/>
          <w:i/>
          <w:color w:val="0F2942"/>
        </w:rPr>
        <w:t xml:space="preserve"> p ge 5 </w:t>
      </w:r>
      <w:r>
        <w:t xml:space="preserve">) </w:t>
      </w:r>
      <w:r>
        <w:rPr>
          <w:b/>
          <w:color w:val="0284C7"/>
          <w:sz w:val="19"/>
        </w:rPr>
        <w:t xml:space="preserve"> [11, 12, 13]</w:t>
      </w:r>
      <w:r>
        <w:t>.</w:t>
      </w:r>
    </w:p>
    <w:p>
      <w:pPr>
        <w:spacing w:before="200" w:after="80"/>
      </w:pPr>
      <w:r>
        <w:rPr>
          <w:rFonts w:ascii="Arial" w:hAnsi="Arial"/>
          <w:b/>
          <w:color w:val="1E293B"/>
          <w:sz w:val="22"/>
        </w:rPr>
        <w:t>4. Key Findings &amp; Reported Metrics</w:t>
      </w:r>
    </w:p>
    <w:p>
      <w:pPr>
        <w:spacing w:before="40" w:after="120" w:line="276" w:lineRule="auto"/>
      </w:pPr>
      <w:r>
        <w:t xml:space="preserve">The paper proves stronger upper bounds for </w:t>
      </w:r>
      <w:r>
        <w:rPr>
          <w:rFonts w:ascii="Cambria Math" w:hAnsi="Cambria Math"/>
          <w:i/>
          <w:color w:val="0F2942"/>
        </w:rPr>
        <w:t xml:space="preserve"> A^+(K) </w:t>
      </w:r>
      <w:r>
        <w:t xml:space="preserve"> (limsup of the average 2-Selmer group dimension) and positive lower bounds for </w:t>
      </w:r>
      <w:r>
        <w:rPr>
          <w:rFonts w:ascii="Cambria Math" w:hAnsi="Cambria Math"/>
          <w:i/>
          <w:color w:val="0F2942"/>
        </w:rPr>
        <w:t xml:space="preserve"> A^-(K) </w:t>
      </w:r>
      <w:r>
        <w:t xml:space="preserve"> (liminf) over multiquadratic extensions, noting that in the case of quadratic fields, these bounds are often very close </w:t>
      </w:r>
      <w:r>
        <w:rPr>
          <w:b/>
          <w:color w:val="0284C7"/>
          <w:sz w:val="19"/>
        </w:rPr>
        <w:t xml:space="preserve"> [11]</w:t>
      </w:r>
      <w:r>
        <w:t>.</w:t>
      </w:r>
    </w:p>
    <w:p>
      <w:pPr>
        <w:spacing w:before="200" w:after="80"/>
      </w:pPr>
      <w:r>
        <w:rPr>
          <w:rFonts w:ascii="Arial" w:hAnsi="Arial"/>
          <w:b/>
          <w:color w:val="1E293B"/>
          <w:sz w:val="22"/>
        </w:rPr>
        <w:t>5. Limitations &amp; Open Questions</w:t>
      </w:r>
    </w:p>
    <w:p>
      <w:pPr>
        <w:spacing w:before="40" w:after="120" w:line="276" w:lineRule="auto"/>
      </w:pPr>
      <w:r>
        <w:t xml:space="preserve">While author-stated constraints are absent, potential limitations of the analytical framework involve the complexity of computing </w:t>
      </w:r>
      <w:r>
        <w:rPr>
          <w:rFonts w:ascii="Cambria Math" w:hAnsi="Cambria Math"/>
          <w:i/>
          <w:color w:val="0F2942"/>
        </w:rPr>
        <w:t xml:space="preserve"> p </w:t>
      </w:r>
      <w:r>
        <w:t xml:space="preserve">-adic integrals for extensions with larger elementary abelian 2-group ranks. Open questions include applying the developed Ekedahl sieve machinery to broader arithmetic geometry settings </w:t>
      </w:r>
      <w:r>
        <w:rPr>
          <w:b/>
          <w:color w:val="0284C7"/>
          <w:sz w:val="19"/>
        </w:rPr>
        <w:t xml:space="preserve"> [14]</w:t>
      </w:r>
      <w:r>
        <w:t>.</w:t>
      </w:r>
    </w:p>
    <w:p>
      <w:pPr>
        <w:spacing w:before="200" w:after="80"/>
      </w:pPr>
      <w:r>
        <w:rPr>
          <w:rFonts w:ascii="Arial" w:hAnsi="Arial"/>
          <w:b/>
          <w:color w:val="1E293B"/>
          <w:sz w:val="22"/>
        </w:rPr>
        <w:t>1. Core Problem &amp; Objective</w:t>
      </w:r>
    </w:p>
    <w:p>
      <w:pPr>
        <w:spacing w:before="40" w:after="120" w:line="276" w:lineRule="auto"/>
      </w:pPr>
      <w:r>
        <w:t xml:space="preserve">The paper addresses the trade-off between computational efficiency and high performance in large language models by introducing an attention mechanism that combines sparse token selection with gating </w:t>
      </w:r>
      <w:r>
        <w:rPr>
          <w:b/>
          <w:color w:val="0284C7"/>
          <w:sz w:val="19"/>
        </w:rPr>
        <w:t xml:space="preserve"> [16, 17]</w:t>
      </w:r>
      <w:r>
        <w:t>.</w:t>
      </w:r>
    </w:p>
    <w:p>
      <w:pPr>
        <w:spacing w:before="200" w:after="80"/>
      </w:pPr>
      <w:r>
        <w:rPr>
          <w:rFonts w:ascii="Arial" w:hAnsi="Arial"/>
          <w:b/>
          <w:color w:val="1E293B"/>
          <w:sz w:val="22"/>
        </w:rPr>
        <w:t>2. Methodology &amp; Architecture</w:t>
      </w:r>
    </w:p>
    <w:p>
      <w:pPr>
        <w:spacing w:before="40" w:after="120" w:line="276" w:lineRule="auto"/>
      </w:pPr>
      <w:r>
        <w:t xml:space="preserve">The proposed Gated Sparse Attention (GSA) architecture rests on three core components: (i) a gated lightning indexer using sigmoid units for smooth, probabilistic importance scoring in </w:t>
      </w:r>
      <w:r>
        <w:rPr>
          <w:rFonts w:ascii="Cambria Math" w:hAnsi="Cambria Math"/>
          <w:i/>
          <w:color w:val="0F2942"/>
        </w:rPr>
        <w:t xml:space="preserve"> (0, H_I) </w:t>
      </w:r>
      <w:r>
        <w:t xml:space="preserve">; (ii) an adaptive sparsity controller that modulates the selection budget </w:t>
      </w:r>
      <w:r>
        <w:rPr>
          <w:rFonts w:ascii="Cambria Math" w:hAnsi="Cambria Math"/>
          <w:i/>
          <w:color w:val="0F2942"/>
        </w:rPr>
        <w:t xml:space="preserve"> k_t </w:t>
      </w:r>
      <w:r>
        <w:t xml:space="preserve"> based on score variance; and (iii) dual gating applied to values before aggregation (</w:t>
      </w:r>
      <w:r>
        <w:rPr>
          <w:rFonts w:ascii="Cambria Math" w:hAnsi="Cambria Math"/>
          <w:i/>
          <w:color w:val="0F2942"/>
        </w:rPr>
        <w:t xml:space="preserve"> G_2 </w:t>
      </w:r>
      <w:r>
        <w:t>) and outputs after scaled dot-product attention (</w:t>
      </w:r>
      <w:r>
        <w:rPr>
          <w:rFonts w:ascii="Cambria Math" w:hAnsi="Cambria Math"/>
          <w:i/>
          <w:color w:val="0F2942"/>
        </w:rPr>
        <w:t xml:space="preserve"> G_1 </w:t>
      </w:r>
      <w:r>
        <w:t xml:space="preserve">) </w:t>
      </w:r>
      <w:r>
        <w:rPr>
          <w:b/>
          <w:color w:val="0284C7"/>
          <w:sz w:val="19"/>
        </w:rPr>
        <w:t xml:space="preserve"> [17]</w:t>
      </w:r>
      <w:r>
        <w:t>.</w:t>
      </w:r>
    </w:p>
    <w:p>
      <w:pPr>
        <w:spacing w:before="200" w:after="80"/>
      </w:pPr>
      <w:r>
        <w:rPr>
          <w:rFonts w:ascii="Arial" w:hAnsi="Arial"/>
          <w:b/>
          <w:color w:val="1E293B"/>
          <w:sz w:val="22"/>
        </w:rPr>
        <w:t>3. Experimental Setup &amp; Datasets</w:t>
      </w:r>
    </w:p>
    <w:p>
      <w:pPr>
        <w:spacing w:before="40" w:after="120" w:line="276" w:lineRule="auto"/>
      </w:pPr>
      <w:r>
        <w:t xml:space="preserve">The study trains 1.7B-parameter models from scratch on 400B tokens drawn from SlimPajama using 24 layers, a hidden dimension of 2048, 16 query heads, and 4 key-value heads </w:t>
      </w:r>
      <w:r>
        <w:rPr>
          <w:b/>
          <w:color w:val="0284C7"/>
          <w:sz w:val="19"/>
        </w:rPr>
        <w:t xml:space="preserve"> [15]</w:t>
      </w:r>
      <w:r>
        <w:t xml:space="preserve">. Evaluations cover WikiText-103, C4, and five downstream benchmarks (including MMLU and GSM8K), with context windows extending up to 128K via YaRN positional interpolation </w:t>
      </w:r>
      <w:r>
        <w:rPr>
          <w:b/>
          <w:color w:val="0284C7"/>
          <w:sz w:val="19"/>
        </w:rPr>
        <w:t xml:space="preserve"> [15]</w:t>
      </w:r>
      <w:r>
        <w:t>.</w:t>
      </w:r>
    </w:p>
    <w:p>
      <w:pPr>
        <w:spacing w:before="200" w:after="80"/>
      </w:pPr>
      <w:r>
        <w:rPr>
          <w:rFonts w:ascii="Arial" w:hAnsi="Arial"/>
          <w:b/>
          <w:color w:val="1E293B"/>
          <w:sz w:val="22"/>
        </w:rPr>
        <w:t>4. Key Findings &amp; Reported Metrics</w:t>
      </w:r>
    </w:p>
    <w:p>
      <w:pPr>
        <w:spacing w:before="40" w:after="120" w:line="276" w:lineRule="auto"/>
      </w:pPr>
      <w:r>
        <w:t>Perplexity evaluations on WikiText-103 and C4 demonstrate the advantage of combining gating and sparsity:</w:t>
      </w:r>
    </w:p>
    <w:tbl>
      <w:tblPr>
        <w:tblW w:type="auto" w:w="0"/>
        <w:jc w:val="center"/>
        <w:tblLook w:firstColumn="1" w:firstRow="1" w:lastColumn="0" w:lastRow="0" w:noHBand="0" w:noVBand="1" w:val="04A0"/>
      </w:tblPr>
      <w:tblGrid>
        <w:gridCol w:w="3120"/>
        <w:gridCol w:w="3120"/>
        <w:gridCol w:w="3120"/>
      </w:tblGrid>
      <w:tr>
        <w:tc>
          <w:tcPr>
            <w:tcW w:type="dxa" w:w="3120"/>
            <w:shd w:fill="0F2942"/>
            <w:tcMar>
              <w:top w:w="120" w:type="dxa"/>
              <w:bottom w:w="120" w:type="dxa"/>
              <w:left w:w="140" w:type="dxa"/>
              <w:right w:w="140" w:type="dxa"/>
            </w:tcMar>
          </w:tcPr>
          <w:p>
            <w:pPr>
              <w:jc w:val="left"/>
            </w:pPr>
            <w:r>
              <w:rPr>
                <w:b/>
                <w:color w:val="FFFFFF"/>
                <w:sz w:val="19"/>
              </w:rPr>
              <w:t>Model Configuration</w:t>
            </w:r>
          </w:p>
        </w:tc>
        <w:tc>
          <w:tcPr>
            <w:tcW w:type="dxa" w:w="3120"/>
            <w:shd w:fill="0F2942"/>
            <w:tcMar>
              <w:top w:w="120" w:type="dxa"/>
              <w:bottom w:w="120" w:type="dxa"/>
              <w:left w:w="140" w:type="dxa"/>
              <w:right w:w="140" w:type="dxa"/>
            </w:tcMar>
          </w:tcPr>
          <w:p>
            <w:pPr>
              <w:jc w:val="left"/>
            </w:pPr>
            <w:r>
              <w:rPr>
                <w:b/>
                <w:color w:val="FFFFFF"/>
                <w:sz w:val="19"/>
              </w:rPr>
              <w:t>WikiText-103 Perplexity (Lower is better)</w:t>
            </w:r>
          </w:p>
        </w:tc>
        <w:tc>
          <w:tcPr>
            <w:tcW w:type="dxa" w:w="3120"/>
            <w:shd w:fill="0F2942"/>
            <w:tcMar>
              <w:top w:w="120" w:type="dxa"/>
              <w:bottom w:w="120" w:type="dxa"/>
              <w:left w:w="140" w:type="dxa"/>
              <w:right w:w="140" w:type="dxa"/>
            </w:tcMar>
          </w:tcPr>
          <w:p>
            <w:pPr>
              <w:jc w:val="left"/>
            </w:pPr>
            <w:r>
              <w:rPr>
                <w:b/>
                <w:color w:val="FFFFFF"/>
                <w:sz w:val="19"/>
              </w:rPr>
              <w:t>C4 Perplexity (Lower is better)</w:t>
            </w:r>
          </w:p>
        </w:tc>
      </w:tr>
      <w:tr>
        <w:tc>
          <w:tcPr>
            <w:tcW w:type="dxa" w:w="3120"/>
            <w:shd w:fill="F8FAFC"/>
            <w:tcMar>
              <w:top w:w="100" w:type="dxa"/>
              <w:bottom w:w="100" w:type="dxa"/>
              <w:left w:w="140" w:type="dxa"/>
              <w:right w:w="140" w:type="dxa"/>
            </w:tcMar>
          </w:tcPr>
          <w:p>
            <w:pPr>
              <w:jc w:val="left"/>
            </w:pPr>
            <w:r>
              <w:rPr>
                <w:b/>
                <w:color w:val="1E293B"/>
                <w:sz w:val="19"/>
              </w:rPr>
              <w:t>Standard</w:t>
            </w:r>
            <w:r>
              <w:rPr>
                <w:color w:val="1E293B"/>
                <w:sz w:val="19"/>
              </w:rPr>
              <w:t xml:space="preserve"> </w:t>
            </w:r>
            <w:r>
              <w:rPr>
                <w:b/>
                <w:color w:val="1E293B"/>
                <w:sz w:val="19"/>
              </w:rPr>
              <w:t xml:space="preserve"> [15]</w:t>
            </w:r>
          </w:p>
        </w:tc>
        <w:tc>
          <w:tcPr>
            <w:tcW w:type="dxa" w:w="3120"/>
            <w:shd w:fill="F8FAFC"/>
            <w:tcMar>
              <w:top w:w="100" w:type="dxa"/>
              <w:bottom w:w="100" w:type="dxa"/>
              <w:left w:w="140" w:type="dxa"/>
              <w:right w:w="140" w:type="dxa"/>
            </w:tcMar>
          </w:tcPr>
          <w:p>
            <w:pPr>
              <w:jc w:val="left"/>
            </w:pPr>
            <w:r>
              <w:rPr>
                <w:color w:val="1E293B"/>
                <w:sz w:val="19"/>
              </w:rPr>
              <w:t>6.03</w:t>
            </w:r>
          </w:p>
        </w:tc>
        <w:tc>
          <w:tcPr>
            <w:tcW w:type="dxa" w:w="3120"/>
            <w:shd w:fill="F8FAFC"/>
            <w:tcMar>
              <w:top w:w="100" w:type="dxa"/>
              <w:bottom w:w="100" w:type="dxa"/>
              <w:left w:w="140" w:type="dxa"/>
              <w:right w:w="140" w:type="dxa"/>
            </w:tcMar>
          </w:tcPr>
          <w:p>
            <w:pPr>
              <w:jc w:val="left"/>
            </w:pPr>
            <w:r>
              <w:rPr>
                <w:color w:val="1E293B"/>
                <w:sz w:val="19"/>
              </w:rPr>
              <w:t>7.82</w:t>
            </w:r>
          </w:p>
        </w:tc>
      </w:tr>
      <w:tr>
        <w:tc>
          <w:tcPr>
            <w:tcW w:type="dxa" w:w="3120"/>
            <w:shd w:fill="FFFFFF"/>
            <w:tcMar>
              <w:top w:w="100" w:type="dxa"/>
              <w:bottom w:w="100" w:type="dxa"/>
              <w:left w:w="140" w:type="dxa"/>
              <w:right w:w="140" w:type="dxa"/>
            </w:tcMar>
          </w:tcPr>
          <w:p>
            <w:pPr>
              <w:jc w:val="left"/>
            </w:pPr>
            <w:r>
              <w:rPr>
                <w:b/>
                <w:color w:val="1E293B"/>
                <w:sz w:val="19"/>
              </w:rPr>
              <w:t>Sparse only</w:t>
            </w:r>
            <w:r>
              <w:rPr>
                <w:color w:val="1E293B"/>
                <w:sz w:val="19"/>
              </w:rPr>
              <w:t xml:space="preserve"> </w:t>
            </w:r>
            <w:r>
              <w:rPr>
                <w:b/>
                <w:color w:val="1E293B"/>
                <w:sz w:val="19"/>
              </w:rPr>
              <w:t xml:space="preserve"> [15]</w:t>
            </w:r>
          </w:p>
        </w:tc>
        <w:tc>
          <w:tcPr>
            <w:tcW w:type="dxa" w:w="3120"/>
            <w:shd w:fill="FFFFFF"/>
            <w:tcMar>
              <w:top w:w="100" w:type="dxa"/>
              <w:bottom w:w="100" w:type="dxa"/>
              <w:left w:w="140" w:type="dxa"/>
              <w:right w:w="140" w:type="dxa"/>
            </w:tcMar>
          </w:tcPr>
          <w:p>
            <w:pPr>
              <w:jc w:val="left"/>
            </w:pPr>
            <w:r>
              <w:rPr>
                <w:color w:val="1E293B"/>
                <w:sz w:val="19"/>
              </w:rPr>
              <w:t>6.02</w:t>
            </w:r>
          </w:p>
        </w:tc>
        <w:tc>
          <w:tcPr>
            <w:tcW w:type="dxa" w:w="3120"/>
            <w:shd w:fill="FFFFFF"/>
            <w:tcMar>
              <w:top w:w="100" w:type="dxa"/>
              <w:bottom w:w="100" w:type="dxa"/>
              <w:left w:w="140" w:type="dxa"/>
              <w:right w:w="140" w:type="dxa"/>
            </w:tcMar>
          </w:tcPr>
          <w:p>
            <w:pPr>
              <w:jc w:val="left"/>
            </w:pPr>
            <w:r>
              <w:rPr>
                <w:color w:val="1E293B"/>
                <w:sz w:val="19"/>
              </w:rPr>
              <w:t>7.79</w:t>
            </w:r>
          </w:p>
        </w:tc>
      </w:tr>
      <w:tr>
        <w:tc>
          <w:tcPr>
            <w:tcW w:type="dxa" w:w="3120"/>
            <w:shd w:fill="F8FAFC"/>
            <w:tcMar>
              <w:top w:w="100" w:type="dxa"/>
              <w:bottom w:w="100" w:type="dxa"/>
              <w:left w:w="140" w:type="dxa"/>
              <w:right w:w="140" w:type="dxa"/>
            </w:tcMar>
          </w:tcPr>
          <w:p>
            <w:pPr>
              <w:jc w:val="left"/>
            </w:pPr>
            <w:r>
              <w:rPr>
                <w:b/>
                <w:color w:val="1E293B"/>
                <w:sz w:val="19"/>
              </w:rPr>
              <w:t>Gated only</w:t>
            </w:r>
            <w:r>
              <w:rPr>
                <w:color w:val="1E293B"/>
                <w:sz w:val="19"/>
              </w:rPr>
              <w:t xml:space="preserve"> </w:t>
            </w:r>
            <w:r>
              <w:rPr>
                <w:b/>
                <w:color w:val="1E293B"/>
                <w:sz w:val="19"/>
              </w:rPr>
              <w:t xml:space="preserve"> [15]</w:t>
            </w:r>
          </w:p>
        </w:tc>
        <w:tc>
          <w:tcPr>
            <w:tcW w:type="dxa" w:w="3120"/>
            <w:shd w:fill="F8FAFC"/>
            <w:tcMar>
              <w:top w:w="100" w:type="dxa"/>
              <w:bottom w:w="100" w:type="dxa"/>
              <w:left w:w="140" w:type="dxa"/>
              <w:right w:w="140" w:type="dxa"/>
            </w:tcMar>
          </w:tcPr>
          <w:p>
            <w:pPr>
              <w:jc w:val="left"/>
            </w:pPr>
            <w:r>
              <w:rPr>
                <w:color w:val="1E293B"/>
                <w:sz w:val="19"/>
              </w:rPr>
              <w:t>5.76</w:t>
            </w:r>
          </w:p>
        </w:tc>
        <w:tc>
          <w:tcPr>
            <w:tcW w:type="dxa" w:w="3120"/>
            <w:shd w:fill="F8FAFC"/>
            <w:tcMar>
              <w:top w:w="100" w:type="dxa"/>
              <w:bottom w:w="100" w:type="dxa"/>
              <w:left w:w="140" w:type="dxa"/>
              <w:right w:w="140" w:type="dxa"/>
            </w:tcMar>
          </w:tcPr>
          <w:p>
            <w:pPr>
              <w:jc w:val="left"/>
            </w:pPr>
            <w:r>
              <w:rPr>
                <w:color w:val="1E293B"/>
                <w:sz w:val="19"/>
              </w:rPr>
              <w:t>7.45</w:t>
            </w:r>
          </w:p>
        </w:tc>
      </w:tr>
      <w:tr>
        <w:tc>
          <w:tcPr>
            <w:tcW w:type="dxa" w:w="3120"/>
            <w:shd w:fill="FFFFFF"/>
            <w:tcMar>
              <w:top w:w="100" w:type="dxa"/>
              <w:bottom w:w="100" w:type="dxa"/>
              <w:left w:w="140" w:type="dxa"/>
              <w:right w:w="140" w:type="dxa"/>
            </w:tcMar>
          </w:tcPr>
          <w:p>
            <w:pPr>
              <w:jc w:val="left"/>
            </w:pPr>
            <w:r>
              <w:rPr>
                <w:b/>
                <w:color w:val="1E293B"/>
                <w:sz w:val="19"/>
              </w:rPr>
              <w:t>GSA</w:t>
            </w:r>
            <w:r>
              <w:rPr>
                <w:color w:val="1E293B"/>
                <w:sz w:val="19"/>
              </w:rPr>
              <w:t xml:space="preserve"> </w:t>
            </w:r>
            <w:r>
              <w:rPr>
                <w:b/>
                <w:color w:val="1E293B"/>
                <w:sz w:val="19"/>
              </w:rPr>
              <w:t xml:space="preserve"> [15]</w:t>
            </w:r>
          </w:p>
        </w:tc>
        <w:tc>
          <w:tcPr>
            <w:tcW w:type="dxa" w:w="3120"/>
            <w:shd w:fill="FFFFFF"/>
            <w:tcMar>
              <w:top w:w="100" w:type="dxa"/>
              <w:bottom w:w="100" w:type="dxa"/>
              <w:left w:w="140" w:type="dxa"/>
              <w:right w:w="140" w:type="dxa"/>
            </w:tcMar>
          </w:tcPr>
          <w:p>
            <w:pPr>
              <w:jc w:val="left"/>
            </w:pPr>
            <w:r>
              <w:rPr>
                <w:color w:val="1E293B"/>
                <w:sz w:val="19"/>
              </w:rPr>
              <w:t>5.70</w:t>
            </w:r>
          </w:p>
        </w:tc>
        <w:tc>
          <w:tcPr>
            <w:tcW w:type="dxa" w:w="3120"/>
            <w:shd w:fill="FFFFFF"/>
            <w:tcMar>
              <w:top w:w="100" w:type="dxa"/>
              <w:bottom w:w="100" w:type="dxa"/>
              <w:left w:w="140" w:type="dxa"/>
              <w:right w:w="140" w:type="dxa"/>
            </w:tcMar>
          </w:tcPr>
          <w:p>
            <w:pPr>
              <w:jc w:val="left"/>
            </w:pPr>
            <w:r>
              <w:rPr>
                <w:color w:val="1E293B"/>
                <w:sz w:val="19"/>
              </w:rPr>
              <w:t>7.38</w:t>
            </w:r>
          </w:p>
        </w:tc>
      </w:tr>
    </w:tbl>
    <w:p>
      <w:pPr>
        <w:spacing w:after="120"/>
      </w:pPr>
    </w:p>
    <w:p>
      <w:pPr>
        <w:spacing w:before="40" w:after="120" w:line="276" w:lineRule="auto"/>
      </w:pPr>
      <w:r>
        <w:t xml:space="preserve">Additionally, GSA leads across downstream tasks, achieving the largest gains on MMLU (+2.6 points over standard) and GSM8K (+3.1 points), while improving throughput by an order of magnitude at 128K context </w:t>
      </w:r>
      <w:r>
        <w:rPr>
          <w:b/>
          <w:color w:val="0284C7"/>
          <w:sz w:val="19"/>
        </w:rPr>
        <w:t xml:space="preserve"> [15, 16]</w:t>
      </w:r>
      <w:r>
        <w:t>.</w:t>
      </w:r>
    </w:p>
    <w:p>
      <w:pPr>
        <w:spacing w:before="200" w:after="80"/>
      </w:pPr>
      <w:r>
        <w:rPr>
          <w:rFonts w:ascii="Arial" w:hAnsi="Arial"/>
          <w:b/>
          <w:color w:val="1E293B"/>
          <w:sz w:val="22"/>
        </w:rPr>
        <w:t>5. Limitations &amp; Open Questions</w:t>
      </w:r>
    </w:p>
    <w:p>
      <w:pPr>
        <w:spacing w:before="40" w:after="120" w:line="276" w:lineRule="auto"/>
      </w:pPr>
      <w:r>
        <w:t xml:space="preserve">Author-stated limitations note that for short sequences (below roughly 4K tokens), the indexer's overhead can exceed sparse attention savings (requiring fallback to dense attention), and the indexer's </w:t>
      </w:r>
      <w:r>
        <w:rPr>
          <w:rFonts w:ascii="Cambria Math" w:hAnsi="Cambria Math"/>
          <w:i/>
          <w:color w:val="0F2942"/>
        </w:rPr>
        <w:t xml:space="preserve"> O(L^2) </w:t>
      </w:r>
      <w:r>
        <w:t xml:space="preserve"> scaling will eventually dominate at extreme lengths beyond 1M tokens </w:t>
      </w:r>
      <w:r>
        <w:rPr>
          <w:b/>
          <w:color w:val="0284C7"/>
          <w:sz w:val="19"/>
        </w:rPr>
        <w:t xml:space="preserve"> [16]</w:t>
      </w:r>
      <w:r>
        <w:t>. Furthermore, GSA introduces new hyperparameters (</w:t>
      </w:r>
      <w:r>
        <w:rPr>
          <w:rFonts w:ascii="Cambria Math" w:hAnsi="Cambria Math"/>
          <w:i/>
          <w:color w:val="0F2942"/>
        </w:rPr>
        <w:t xml:space="preserve"> k_{textbase}, d_I </w:t>
      </w:r>
      <w:r>
        <w:t xml:space="preserve">, gate initialization) that require tuning, and the two-phase training schedule adds implementation complexity </w:t>
      </w:r>
      <w:r>
        <w:rPr>
          <w:b/>
          <w:color w:val="0284C7"/>
          <w:sz w:val="19"/>
        </w:rPr>
        <w:t xml:space="preserve"> [16]</w:t>
      </w:r>
      <w:r>
        <w:t>.</w:t>
      </w:r>
    </w:p>
    <w:p>
      <w:pPr>
        <w:spacing w:before="360" w:after="120"/>
      </w:pPr>
      <w:r>
        <w:rPr>
          <w:rFonts w:ascii="Arial" w:hAnsi="Arial"/>
          <w:b/>
          <w:color w:val="0F2942"/>
          <w:sz w:val="28"/>
        </w:rPr>
        <w:t>References &amp; Grounded Citations</w:t>
      </w:r>
    </w:p>
    <w:p>
      <w:pPr>
        <w:spacing w:before="40" w:after="80"/>
        <w:ind w:left="432"/>
      </w:pPr>
      <w:r>
        <w:rPr>
          <w:b/>
          <w:color w:val="0284C7"/>
        </w:rPr>
        <w:t xml:space="preserve">[1] </w:t>
      </w:r>
      <w:r>
        <w:rPr>
          <w:b/>
          <w:color w:val="1E293B"/>
        </w:rPr>
        <w:t xml:space="preserve">"Transformer Models for Text Summarization: A Comparative Study". </w:t>
      </w:r>
      <w:r>
        <w:rPr>
          <w:color w:val="1E293B"/>
        </w:rPr>
        <w:t xml:space="preserve">A. Sharma, P. Gupta, R. Kumar, et al. </w:t>
      </w:r>
      <w:r>
        <w:rPr>
          <w:i/>
          <w:color w:val="64748B"/>
        </w:rPr>
        <w:t xml:space="preserve">2026. Section: 1. INTRODUCTION; PDF Pages 2–3. </w:t>
      </w:r>
      <w:hyperlink r:id="rId11">
        <w:r>
          <w:rPr>
            <w:color w:val="0284C7"/>
            <w:u w:val="single"/>
          </w:rPr>
          <w:t>Open source PDF</w:t>
        </w:r>
      </w:hyperlink>
    </w:p>
    <w:p>
      <w:pPr>
        <w:spacing w:before="40" w:after="80"/>
        <w:ind w:left="432"/>
      </w:pPr>
      <w:r>
        <w:rPr>
          <w:b/>
          <w:color w:val="0284C7"/>
        </w:rPr>
        <w:t xml:space="preserve">[2] </w:t>
      </w:r>
      <w:r>
        <w:rPr>
          <w:b/>
          <w:color w:val="1E293B"/>
        </w:rPr>
        <w:t xml:space="preserve">"Transformer Models for Text Summarization: A Comparative Study". </w:t>
      </w:r>
      <w:r>
        <w:rPr>
          <w:color w:val="1E293B"/>
        </w:rPr>
        <w:t xml:space="preserve">A. Sharma, P. Gupta, R. Kumar, et al. </w:t>
      </w:r>
      <w:r>
        <w:rPr>
          <w:i/>
          <w:color w:val="64748B"/>
        </w:rPr>
        <w:t xml:space="preserve">2026. Section: 1. INTRODUCTION; PDF Page 3. </w:t>
      </w:r>
      <w:hyperlink r:id="rId12">
        <w:r>
          <w:rPr>
            <w:color w:val="0284C7"/>
            <w:u w:val="single"/>
          </w:rPr>
          <w:t>Open source PDF</w:t>
        </w:r>
      </w:hyperlink>
    </w:p>
    <w:p>
      <w:pPr>
        <w:spacing w:before="40" w:after="80"/>
        <w:ind w:left="432"/>
      </w:pPr>
      <w:r>
        <w:rPr>
          <w:b/>
          <w:color w:val="0284C7"/>
        </w:rPr>
        <w:t xml:space="preserve">[3] </w:t>
      </w:r>
      <w:r>
        <w:rPr>
          <w:b/>
          <w:color w:val="1E293B"/>
        </w:rPr>
        <w:t xml:space="preserve">"Transformer Models for Text Summarization: A Comparative Study". </w:t>
      </w:r>
      <w:r>
        <w:rPr>
          <w:color w:val="1E293B"/>
        </w:rPr>
        <w:t xml:space="preserve">A. Sharma, P. Gupta, R. Kumar, et al. </w:t>
      </w:r>
      <w:r>
        <w:rPr>
          <w:i/>
          <w:color w:val="64748B"/>
        </w:rPr>
        <w:t xml:space="preserve">2026. Section: 6. RESULTS AND DISCUSSION; PDF Page 7. </w:t>
      </w:r>
      <w:hyperlink r:id="rId13">
        <w:r>
          <w:rPr>
            <w:color w:val="0284C7"/>
            <w:u w:val="single"/>
          </w:rPr>
          <w:t>Open source PDF</w:t>
        </w:r>
      </w:hyperlink>
    </w:p>
    <w:p>
      <w:pPr>
        <w:spacing w:before="40" w:after="80"/>
        <w:ind w:left="432"/>
      </w:pPr>
      <w:r>
        <w:rPr>
          <w:b/>
          <w:color w:val="0284C7"/>
        </w:rPr>
        <w:t xml:space="preserve">[4] </w:t>
      </w:r>
      <w:r>
        <w:rPr>
          <w:b/>
          <w:color w:val="1E293B"/>
        </w:rPr>
        <w:t xml:space="preserve">"Transformer Models for Text Summarization: A Comparative Study". </w:t>
      </w:r>
      <w:r>
        <w:rPr>
          <w:color w:val="1E293B"/>
        </w:rPr>
        <w:t xml:space="preserve">A. Sharma, P. Gupta, R. Kumar, et al. </w:t>
      </w:r>
      <w:r>
        <w:rPr>
          <w:i/>
          <w:color w:val="64748B"/>
        </w:rPr>
        <w:t xml:space="preserve">2026. Section: 7. CONCLUSION; PDF Page 8. </w:t>
      </w:r>
      <w:hyperlink r:id="rId14">
        <w:r>
          <w:rPr>
            <w:color w:val="0284C7"/>
            <w:u w:val="single"/>
          </w:rPr>
          <w:t>Open source PDF</w:t>
        </w:r>
      </w:hyperlink>
    </w:p>
    <w:p>
      <w:pPr>
        <w:spacing w:before="40" w:after="80"/>
        <w:ind w:left="432"/>
      </w:pPr>
      <w:r>
        <w:rPr>
          <w:b/>
          <w:color w:val="0284C7"/>
        </w:rPr>
        <w:t xml:space="preserve">[5] </w:t>
      </w:r>
      <w:r>
        <w:rPr>
          <w:b/>
          <w:color w:val="1E293B"/>
        </w:rPr>
        <w:t xml:space="preserve">"The Deep Arbitrary Polynomial Chaos Neural Network or how Deep Artificial Neural Networks can solve Uncertainty Quantification Problems". </w:t>
      </w:r>
      <w:r>
        <w:rPr>
          <w:color w:val="1E293B"/>
        </w:rPr>
        <w:t xml:space="preserve">V. Keshavarzzadeh, R. M. Kirby, A. Narayan. </w:t>
      </w:r>
      <w:r>
        <w:rPr>
          <w:i/>
          <w:color w:val="64748B"/>
        </w:rPr>
        <w:t xml:space="preserve">2023. Section: ABSTRACT; PDF Page 14. </w:t>
      </w:r>
      <w:hyperlink r:id="rId15">
        <w:r>
          <w:rPr>
            <w:color w:val="0284C7"/>
            <w:u w:val="single"/>
          </w:rPr>
          <w:t>Open source PDF</w:t>
        </w:r>
      </w:hyperlink>
    </w:p>
    <w:p>
      <w:pPr>
        <w:spacing w:before="40" w:after="80"/>
        <w:ind w:left="432"/>
      </w:pPr>
      <w:r>
        <w:rPr>
          <w:b/>
          <w:color w:val="0284C7"/>
        </w:rPr>
        <w:t xml:space="preserve">[6] </w:t>
      </w:r>
      <w:r>
        <w:rPr>
          <w:b/>
          <w:color w:val="1E293B"/>
        </w:rPr>
        <w:t xml:space="preserve">"The Deep Arbitrary Polynomial Chaos Neural Network or how Deep Artificial Neural Networks can solve Uncertainty Quantification Problems". </w:t>
      </w:r>
      <w:r>
        <w:rPr>
          <w:color w:val="1E293B"/>
        </w:rPr>
        <w:t xml:space="preserve">V. Keshavarzzadeh, R. M. Kirby, A. Narayan. </w:t>
      </w:r>
      <w:r>
        <w:rPr>
          <w:i/>
          <w:color w:val="64748B"/>
        </w:rPr>
        <w:t xml:space="preserve">2023. Section: ABSTRACT; PDF Page 16. </w:t>
      </w:r>
      <w:hyperlink r:id="rId16">
        <w:r>
          <w:rPr>
            <w:color w:val="0284C7"/>
            <w:u w:val="single"/>
          </w:rPr>
          <w:t>Open source PDF</w:t>
        </w:r>
      </w:hyperlink>
    </w:p>
    <w:p>
      <w:pPr>
        <w:spacing w:before="40" w:after="80"/>
        <w:ind w:left="432"/>
      </w:pPr>
      <w:r>
        <w:rPr>
          <w:b/>
          <w:color w:val="0284C7"/>
        </w:rPr>
        <w:t xml:space="preserve">[7] </w:t>
      </w:r>
      <w:r>
        <w:rPr>
          <w:b/>
          <w:color w:val="1E293B"/>
        </w:rPr>
        <w:t xml:space="preserve">"The Deep Arbitrary Polynomial Chaos Neural Network or how Deep Artificial Neural Networks can solve Uncertainty Quantification Problems". </w:t>
      </w:r>
      <w:r>
        <w:rPr>
          <w:color w:val="1E293B"/>
        </w:rPr>
        <w:t xml:space="preserve">V. Keshavarzzadeh, R. M. Kirby, A. Narayan. </w:t>
      </w:r>
      <w:r>
        <w:rPr>
          <w:i/>
          <w:color w:val="64748B"/>
        </w:rPr>
        <w:t xml:space="preserve">2023. Section: ABSTRACT; PDF Page 17. </w:t>
      </w:r>
      <w:hyperlink r:id="rId17">
        <w:r>
          <w:rPr>
            <w:color w:val="0284C7"/>
            <w:u w:val="single"/>
          </w:rPr>
          <w:t>Open source PDF</w:t>
        </w:r>
      </w:hyperlink>
    </w:p>
    <w:p>
      <w:pPr>
        <w:spacing w:before="40" w:after="80"/>
        <w:ind w:left="432"/>
      </w:pPr>
      <w:r>
        <w:rPr>
          <w:b/>
          <w:color w:val="0284C7"/>
        </w:rPr>
        <w:t xml:space="preserve">[8] </w:t>
      </w:r>
      <w:r>
        <w:rPr>
          <w:b/>
          <w:color w:val="1E293B"/>
        </w:rPr>
        <w:t xml:space="preserve">"LegalTurk Optimized BERT for Multi-Label Text Classification and NER". </w:t>
      </w:r>
      <w:r>
        <w:rPr>
          <w:color w:val="1E293B"/>
        </w:rPr>
        <w:t xml:space="preserve">Farnaz Zeidi, Mehmet Fatih Amasyali, Çiğdem Erol • 2024. </w:t>
      </w:r>
      <w:r>
        <w:rPr>
          <w:i/>
          <w:color w:val="64748B"/>
        </w:rPr>
        <w:t xml:space="preserve">2024. Section: ABSTRACT; PDF Page 7. </w:t>
      </w:r>
      <w:hyperlink r:id="rId18">
        <w:r>
          <w:rPr>
            <w:color w:val="0284C7"/>
            <w:u w:val="single"/>
          </w:rPr>
          <w:t>Open source PDF</w:t>
        </w:r>
      </w:hyperlink>
    </w:p>
    <w:p>
      <w:pPr>
        <w:spacing w:before="40" w:after="80"/>
        <w:ind w:left="432"/>
      </w:pPr>
      <w:r>
        <w:rPr>
          <w:b/>
          <w:color w:val="0284C7"/>
        </w:rPr>
        <w:t xml:space="preserve">[9] </w:t>
      </w:r>
      <w:r>
        <w:rPr>
          <w:b/>
          <w:color w:val="1E293B"/>
        </w:rPr>
        <w:t xml:space="preserve">"LegalTurk Optimized BERT for Multi-Label Text Classification and NER". </w:t>
      </w:r>
      <w:r>
        <w:rPr>
          <w:color w:val="1E293B"/>
        </w:rPr>
        <w:t xml:space="preserve">Farnaz Zeidi, Mehmet Fatih Amasyali, Çiğdem Erol • 2024. </w:t>
      </w:r>
      <w:r>
        <w:rPr>
          <w:i/>
          <w:color w:val="64748B"/>
        </w:rPr>
        <w:t xml:space="preserve">2024. Section: ABSTRACT; PDF Pages 7–8. </w:t>
      </w:r>
      <w:hyperlink r:id="rId18">
        <w:r>
          <w:rPr>
            <w:color w:val="0284C7"/>
            <w:u w:val="single"/>
          </w:rPr>
          <w:t>Open source PDF</w:t>
        </w:r>
      </w:hyperlink>
    </w:p>
    <w:p>
      <w:pPr>
        <w:spacing w:before="40" w:after="80"/>
        <w:ind w:left="432"/>
      </w:pPr>
      <w:r>
        <w:rPr>
          <w:b/>
          <w:color w:val="0284C7"/>
        </w:rPr>
        <w:t xml:space="preserve">[10] </w:t>
      </w:r>
      <w:r>
        <w:rPr>
          <w:b/>
          <w:color w:val="1E293B"/>
        </w:rPr>
        <w:t xml:space="preserve">"LegalTurk Optimized BERT for Multi-Label Text Classification and NER". </w:t>
      </w:r>
      <w:r>
        <w:rPr>
          <w:color w:val="1E293B"/>
        </w:rPr>
        <w:t xml:space="preserve">Farnaz Zeidi, Mehmet Fatih Amasyali, Çiğdem Erol • 2024. </w:t>
      </w:r>
      <w:r>
        <w:rPr>
          <w:i/>
          <w:color w:val="64748B"/>
        </w:rPr>
        <w:t xml:space="preserve">2024. Section: ABSTRACT; PDF Page 10. </w:t>
      </w:r>
      <w:hyperlink r:id="rId19">
        <w:r>
          <w:rPr>
            <w:color w:val="0284C7"/>
            <w:u w:val="single"/>
          </w:rPr>
          <w:t>Open source PDF</w:t>
        </w:r>
      </w:hyperlink>
    </w:p>
    <w:p>
      <w:pPr>
        <w:spacing w:before="40" w:after="80"/>
        <w:ind w:left="432"/>
      </w:pPr>
      <w:r>
        <w:rPr>
          <w:b/>
          <w:color w:val="0284C7"/>
        </w:rPr>
        <w:t xml:space="preserve">[11] </w:t>
      </w:r>
      <w:r>
        <w:rPr>
          <w:b/>
          <w:color w:val="1E293B"/>
        </w:rPr>
        <w:t xml:space="preserve">"2-Selmer Groups over Multiquadratic Extensions". </w:t>
      </w:r>
      <w:r>
        <w:rPr>
          <w:color w:val="1E293B"/>
        </w:rPr>
        <w:t xml:space="preserve">Alexander Smith. </w:t>
      </w:r>
      <w:r>
        <w:rPr>
          <w:i/>
          <w:color w:val="64748B"/>
        </w:rPr>
        <w:t xml:space="preserve">2024. Section: 1. Introduction; PDF Pages 1–2. </w:t>
      </w:r>
      <w:hyperlink r:id="rId20">
        <w:r>
          <w:rPr>
            <w:color w:val="0284C7"/>
            <w:u w:val="single"/>
          </w:rPr>
          <w:t>Open source PDF</w:t>
        </w:r>
      </w:hyperlink>
    </w:p>
    <w:p>
      <w:pPr>
        <w:spacing w:before="40" w:after="80"/>
        <w:ind w:left="432"/>
      </w:pPr>
      <w:r>
        <w:rPr>
          <w:b/>
          <w:color w:val="0284C7"/>
        </w:rPr>
        <w:t xml:space="preserve">[12] </w:t>
      </w:r>
      <w:r>
        <w:rPr>
          <w:b/>
          <w:color w:val="1E293B"/>
        </w:rPr>
        <w:t xml:space="preserve">"2-Selmer Groups over Multiquadratic Extensions". </w:t>
      </w:r>
      <w:r>
        <w:rPr>
          <w:color w:val="1E293B"/>
        </w:rPr>
        <w:t xml:space="preserve">Alexander Smith. </w:t>
      </w:r>
      <w:r>
        <w:rPr>
          <w:i/>
          <w:color w:val="64748B"/>
        </w:rPr>
        <w:t xml:space="preserve">2024. Section: References; PDF Page 31. </w:t>
      </w:r>
      <w:hyperlink r:id="rId21">
        <w:r>
          <w:rPr>
            <w:color w:val="0284C7"/>
            <w:u w:val="single"/>
          </w:rPr>
          <w:t>Open source PDF</w:t>
        </w:r>
      </w:hyperlink>
    </w:p>
    <w:p>
      <w:pPr>
        <w:spacing w:before="40" w:after="80"/>
        <w:ind w:left="432"/>
      </w:pPr>
      <w:r>
        <w:rPr>
          <w:b/>
          <w:color w:val="0284C7"/>
        </w:rPr>
        <w:t xml:space="preserve">[13] </w:t>
      </w:r>
      <w:r>
        <w:rPr>
          <w:b/>
          <w:color w:val="1E293B"/>
        </w:rPr>
        <w:t xml:space="preserve">"2-Selmer Groups over Multiquadratic Extensions". </w:t>
      </w:r>
      <w:r>
        <w:rPr>
          <w:color w:val="1E293B"/>
        </w:rPr>
        <w:t xml:space="preserve">Alexander Smith. </w:t>
      </w:r>
      <w:r>
        <w:rPr>
          <w:i/>
          <w:color w:val="64748B"/>
        </w:rPr>
        <w:t xml:space="preserve">2024. Section: Abstract. Let K/Q be a multiquadratic extension. We investigate the av-; PDF Page 1. </w:t>
      </w:r>
      <w:hyperlink r:id="rId20">
        <w:r>
          <w:rPr>
            <w:color w:val="0284C7"/>
            <w:u w:val="single"/>
          </w:rPr>
          <w:t>Open source PDF</w:t>
        </w:r>
      </w:hyperlink>
    </w:p>
    <w:p>
      <w:pPr>
        <w:spacing w:before="40" w:after="80"/>
        <w:ind w:left="432"/>
      </w:pPr>
      <w:r>
        <w:rPr>
          <w:b/>
          <w:color w:val="0284C7"/>
        </w:rPr>
        <w:t xml:space="preserve">[14] </w:t>
      </w:r>
      <w:r>
        <w:rPr>
          <w:b/>
          <w:color w:val="1E293B"/>
        </w:rPr>
        <w:t xml:space="preserve">"2-Selmer Groups over Multiquadratic Extensions". </w:t>
      </w:r>
      <w:r>
        <w:rPr>
          <w:color w:val="1E293B"/>
        </w:rPr>
        <w:t xml:space="preserve">Alexander Smith. </w:t>
      </w:r>
      <w:r>
        <w:rPr>
          <w:i/>
          <w:color w:val="64748B"/>
        </w:rPr>
        <w:t xml:space="preserve">2024. Section: 1. Introduction; PDF Page 4. </w:t>
      </w:r>
      <w:hyperlink r:id="rId22">
        <w:r>
          <w:rPr>
            <w:color w:val="0284C7"/>
            <w:u w:val="single"/>
          </w:rPr>
          <w:t>Open source PDF</w:t>
        </w:r>
      </w:hyperlink>
    </w:p>
    <w:p>
      <w:pPr>
        <w:spacing w:before="40" w:after="80"/>
        <w:ind w:left="432"/>
      </w:pPr>
      <w:r>
        <w:rPr>
          <w:b/>
          <w:color w:val="0284C7"/>
        </w:rPr>
        <w:t xml:space="preserve">[15] </w:t>
      </w:r>
      <w:r>
        <w:rPr>
          <w:b/>
          <w:color w:val="1E293B"/>
        </w:rPr>
        <w:t xml:space="preserve">"Gated Sparse Attention: Combining Computational Efficiency with High Performance". </w:t>
      </w:r>
      <w:r>
        <w:rPr>
          <w:color w:val="1E293B"/>
        </w:rPr>
        <w:t xml:space="preserve">M. Zhang, H. Liu, C. Wang, et al. </w:t>
      </w:r>
      <w:r>
        <w:rPr>
          <w:i/>
          <w:color w:val="64748B"/>
        </w:rPr>
        <w:t xml:space="preserve">2026. Section: Abstract; PDF Page 9. </w:t>
      </w:r>
      <w:hyperlink r:id="rId23">
        <w:r>
          <w:rPr>
            <w:color w:val="0284C7"/>
            <w:u w:val="single"/>
          </w:rPr>
          <w:t>Open source PDF</w:t>
        </w:r>
      </w:hyperlink>
    </w:p>
    <w:p>
      <w:pPr>
        <w:spacing w:before="40" w:after="80"/>
        <w:ind w:left="432"/>
      </w:pPr>
      <w:r>
        <w:rPr>
          <w:b/>
          <w:color w:val="0284C7"/>
        </w:rPr>
        <w:t xml:space="preserve">[16] </w:t>
      </w:r>
      <w:r>
        <w:rPr>
          <w:b/>
          <w:color w:val="1E293B"/>
        </w:rPr>
        <w:t xml:space="preserve">"Gated Sparse Attention: Combining Computational Efficiency with High Performance". </w:t>
      </w:r>
      <w:r>
        <w:rPr>
          <w:color w:val="1E293B"/>
        </w:rPr>
        <w:t xml:space="preserve">M. Zhang, H. Liu, C. Wang, et al. </w:t>
      </w:r>
      <w:r>
        <w:rPr>
          <w:i/>
          <w:color w:val="64748B"/>
        </w:rPr>
        <w:t xml:space="preserve">2026. Section: Abstract; PDF Pages 11–12. </w:t>
      </w:r>
      <w:hyperlink r:id="rId24">
        <w:r>
          <w:rPr>
            <w:color w:val="0284C7"/>
            <w:u w:val="single"/>
          </w:rPr>
          <w:t>Open source PDF</w:t>
        </w:r>
      </w:hyperlink>
    </w:p>
    <w:p>
      <w:pPr>
        <w:spacing w:before="40" w:after="80"/>
        <w:ind w:left="432"/>
      </w:pPr>
      <w:r>
        <w:rPr>
          <w:b/>
          <w:color w:val="0284C7"/>
        </w:rPr>
        <w:t xml:space="preserve">[17] </w:t>
      </w:r>
      <w:r>
        <w:rPr>
          <w:b/>
          <w:color w:val="1E293B"/>
        </w:rPr>
        <w:t xml:space="preserve">"Gated Sparse Attention: Combining Computational Efficiency with High Performance". </w:t>
      </w:r>
      <w:r>
        <w:rPr>
          <w:color w:val="1E293B"/>
        </w:rPr>
        <w:t xml:space="preserve">M. Zhang, H. Liu, C. Wang, et al. </w:t>
      </w:r>
      <w:r>
        <w:rPr>
          <w:i/>
          <w:color w:val="64748B"/>
        </w:rPr>
        <w:t xml:space="preserve">2026. Section: Abstract; PDF Page 2. </w:t>
      </w:r>
      <w:hyperlink r:id="rId25">
        <w:r>
          <w:rPr>
            <w:color w:val="0284C7"/>
            <w:u w:val="single"/>
          </w:rPr>
          <w:t>Open source PDF</w:t>
        </w:r>
      </w:hyperlink>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4748B"/>
        <w:sz w:val="17"/>
      </w:rPr>
      <w:t>Generated: October 26, 2026 | Evidence-Grounded Research Synthesis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SupervisorX Scientific Report • SupervisorX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pdf/2608.19200v1.pdf#page=2" TargetMode="External"/><Relationship Id="rId12" Type="http://schemas.openxmlformats.org/officeDocument/2006/relationships/hyperlink" Target="https://arxiv.org/pdf/2608.19200v1.pdf#page=3" TargetMode="External"/><Relationship Id="rId13" Type="http://schemas.openxmlformats.org/officeDocument/2006/relationships/hyperlink" Target="https://arxiv.org/pdf/2608.19200v1.pdf#page=7" TargetMode="External"/><Relationship Id="rId14" Type="http://schemas.openxmlformats.org/officeDocument/2006/relationships/hyperlink" Target="https://arxiv.org/pdf/2608.19200v1.pdf#page=8" TargetMode="External"/><Relationship Id="rId15" Type="http://schemas.openxmlformats.org/officeDocument/2006/relationships/hyperlink" Target="https://arxiv.org/pdf/2306.14753v1.pdf#page=14" TargetMode="External"/><Relationship Id="rId16" Type="http://schemas.openxmlformats.org/officeDocument/2006/relationships/hyperlink" Target="https://arxiv.org/pdf/2306.14753v1.pdf#page=16" TargetMode="External"/><Relationship Id="rId17" Type="http://schemas.openxmlformats.org/officeDocument/2006/relationships/hyperlink" Target="https://arxiv.org/pdf/2306.14753v1.pdf#page=17" TargetMode="External"/><Relationship Id="rId18" Type="http://schemas.openxmlformats.org/officeDocument/2006/relationships/hyperlink" Target="https://arxiv.org/pdf/2407.00648v1.pdf#page=7" TargetMode="External"/><Relationship Id="rId19" Type="http://schemas.openxmlformats.org/officeDocument/2006/relationships/hyperlink" Target="https://arxiv.org/pdf/2407.00648v1.pdf#page=10" TargetMode="External"/><Relationship Id="rId20" Type="http://schemas.openxmlformats.org/officeDocument/2006/relationships/hyperlink" Target="https://arxiv.org/pdf/2401.08828.pdf#page=1" TargetMode="External"/><Relationship Id="rId21" Type="http://schemas.openxmlformats.org/officeDocument/2006/relationships/hyperlink" Target="https://arxiv.org/pdf/2401.08828.pdf#page=31" TargetMode="External"/><Relationship Id="rId22" Type="http://schemas.openxmlformats.org/officeDocument/2006/relationships/hyperlink" Target="https://arxiv.org/pdf/2401.08828.pdf#page=4" TargetMode="External"/><Relationship Id="rId23" Type="http://schemas.openxmlformats.org/officeDocument/2006/relationships/hyperlink" Target="https://arxiv.org/pdf/2601.15305v1.pdf#page=9" TargetMode="External"/><Relationship Id="rId24" Type="http://schemas.openxmlformats.org/officeDocument/2006/relationships/hyperlink" Target="https://arxiv.org/pdf/2601.15305v1.pdf#page=11" TargetMode="External"/><Relationship Id="rId25" Type="http://schemas.openxmlformats.org/officeDocument/2006/relationships/hyperlink" Target="https://arxiv.org/pdf/2601.15305v1.pdf#page=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