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00" w:after="80"/>
      </w:pPr>
      <w:r>
        <w:rPr>
          <w:rFonts w:ascii="Arial" w:hAnsi="Arial"/>
          <w:b/>
          <w:color w:val="1E293B"/>
          <w:sz w:val="22"/>
        </w:rPr>
        <w:t>Transformer Models for Text Summarization: A Comparative Study</w:t>
      </w:r>
    </w:p>
    <w:p>
      <w:pPr>
        <w:pStyle w:val="ListNumber"/>
        <w:spacing w:before="20" w:after="60" w:line="276" w:lineRule="auto"/>
      </w:pPr>
      <w:r>
        <w:rPr>
          <w:b/>
        </w:rPr>
        <w:t>Core Problem &amp; Objective</w:t>
      </w:r>
      <w:r>
        <w:t xml:space="preserve">: The paper addresses the need for a focused comparative review of specific transformer architectures (BERT, RoBERTa, and BART) in Automatic Text Summarization (ATS) </w:t>
      </w:r>
      <w:r>
        <w:rPr>
          <w:b/>
          <w:color w:val="0284C7"/>
          <w:sz w:val="19"/>
        </w:rPr>
        <w:t xml:space="preserve"> [1]</w:t>
      </w:r>
      <w:r>
        <w:t xml:space="preserve">. Existing surveys provide broad overviews but lack detailed analyses on how architectural differences (such as encoder-only versus encoder-decoder structures) and pretraining objectives impact performance in extractive and abstractive summarization </w:t>
      </w:r>
      <w:r>
        <w:rPr>
          <w:b/>
          <w:color w:val="0284C7"/>
          <w:sz w:val="19"/>
        </w:rPr>
        <w:t xml:space="preserve"> [1]</w:t>
      </w:r>
      <w:r>
        <w:t>.</w:t>
      </w:r>
    </w:p>
    <w:p>
      <w:pPr>
        <w:pStyle w:val="ListNumber"/>
        <w:spacing w:before="20" w:after="60" w:line="276" w:lineRule="auto"/>
      </w:pPr>
      <w:r>
        <w:rPr>
          <w:b/>
        </w:rPr>
        <w:t>Methodology &amp; Architecture</w:t>
      </w:r>
      <w:r>
        <w:t xml:space="preserve">: The study evaluates three established models under a consistent experimental setting: BERT (bidirectional contextual encoder for understanding/extractive tasks), RoBERTa (optimized pretraining strategies and larger datasets), and BART (encoder-decoder framework for generative/abstractive tasks) </w:t>
      </w:r>
      <w:r>
        <w:rPr>
          <w:b/>
          <w:color w:val="0284C7"/>
          <w:sz w:val="19"/>
        </w:rPr>
        <w:t xml:space="preserve"> [1, 2, 4]</w:t>
      </w:r>
      <w:r>
        <w:t>.</w:t>
      </w:r>
    </w:p>
    <w:p>
      <w:pPr>
        <w:pStyle w:val="ListNumber"/>
        <w:spacing w:before="20" w:after="60" w:line="276" w:lineRule="auto"/>
      </w:pPr>
      <w:r>
        <w:rPr>
          <w:b/>
        </w:rPr>
        <w:t>Experimental Setup &amp; Datasets</w:t>
      </w:r>
      <w:r>
        <w:t xml:space="preserve">: The experiments utilize the CNN/Daily Mail dataset (obtained from Kaggle in 2025), comprising news articles paired with human-written summaries </w:t>
      </w:r>
      <w:r>
        <w:rPr>
          <w:b/>
          <w:color w:val="0284C7"/>
          <w:sz w:val="19"/>
        </w:rPr>
        <w:t xml:space="preserve"> [2]</w:t>
      </w:r>
      <w:r>
        <w:t>.</w:t>
      </w:r>
    </w:p>
    <w:p>
      <w:pPr>
        <w:pStyle w:val="ListNumber"/>
        <w:spacing w:before="20" w:after="60" w:line="276" w:lineRule="auto"/>
      </w:pPr>
      <w:r>
        <w:rPr>
          <w:b/>
        </w:rPr>
        <w:t>Key Findings &amp; Reported Metrics</w:t>
      </w:r>
      <w:r>
        <w:t xml:space="preserve">: Performance is evaluated using ROUGE and BLEU metrics </w:t>
      </w:r>
      <w:r>
        <w:rPr>
          <w:b/>
          <w:color w:val="0284C7"/>
          <w:sz w:val="19"/>
        </w:rPr>
        <w:t xml:space="preserve"> [2, 3]</w:t>
      </w:r>
      <w:r>
        <w:t xml:space="preserve">. BART outperformed BERT across all ROUGE and BLEU metrics </w:t>
      </w:r>
      <w:r>
        <w:rPr>
          <w:b/>
          <w:color w:val="0284C7"/>
          <w:sz w:val="19"/>
        </w:rPr>
        <w:t xml:space="preserve"> [3]</w:t>
      </w:r>
      <w:r>
        <w:t xml:space="preserve">. Specifically, comparing BART and RoBERTa, BART achieved a ROUGE-1 score of approximately 0.4117, whereas RoBERTa achieved 0.1820 </w:t>
      </w:r>
      <w:r>
        <w:rPr>
          <w:b/>
          <w:color w:val="0284C7"/>
          <w:sz w:val="19"/>
        </w:rPr>
        <w:t xml:space="preserve"> [3]</w:t>
      </w:r>
      <w:r>
        <w:t xml:space="preserve">. Abstractive models like BART achieve higher semantic quality and fluency through generative pretraining, whereas extractive models like BERT and RoBERTa are more fact-preserving and stable </w:t>
      </w:r>
      <w:r>
        <w:rPr>
          <w:b/>
          <w:color w:val="0284C7"/>
          <w:sz w:val="19"/>
        </w:rPr>
        <w:t xml:space="preserve"> [4]</w:t>
      </w:r>
      <w:r>
        <w:t>.</w:t>
      </w:r>
    </w:p>
    <w:p>
      <w:pPr>
        <w:pStyle w:val="ListNumber"/>
        <w:spacing w:before="20" w:after="60" w:line="276" w:lineRule="auto"/>
      </w:pPr>
      <w:r>
        <w:rPr>
          <w:b/>
        </w:rPr>
        <w:t>Limitations &amp; Open Questions</w:t>
      </w:r>
      <w:r>
        <w:t xml:space="preserve">: Automated metrics like ROUGE and BLEU may not fully capture semantic quality and human readability </w:t>
      </w:r>
      <w:r>
        <w:rPr>
          <w:b/>
          <w:color w:val="0284C7"/>
          <w:sz w:val="19"/>
        </w:rPr>
        <w:t xml:space="preserve"> [2]</w:t>
      </w:r>
      <w:r>
        <w:t xml:space="preserve">. The performance comparison is influenced by differences in training configurations (fine-tuned encoder-only models versus a pretrained generative model) </w:t>
      </w:r>
      <w:r>
        <w:rPr>
          <w:b/>
          <w:color w:val="0284C7"/>
          <w:sz w:val="19"/>
        </w:rPr>
        <w:t xml:space="preserve"> [4]</w:t>
      </w:r>
      <w:r>
        <w:t xml:space="preserve">. Author-stated future work includes fine-tuning BART on domain-specific datasets (medical, legal, educational) and comparing against larger models like T5, LLaMA, and GPT-based architectures </w:t>
      </w:r>
      <w:r>
        <w:rPr>
          <w:b/>
          <w:color w:val="0284C7"/>
          <w:sz w:val="19"/>
        </w:rPr>
        <w:t xml:space="preserve"> [4]</w:t>
      </w:r>
      <w:r>
        <w:t>.</w:t>
      </w:r>
    </w:p>
    <w:p>
      <w:pPr>
        <w:spacing w:before="40" w:after="120" w:line="276" w:lineRule="auto"/>
      </w:pPr>
      <w:r>
        <w:t>---</w:t>
      </w:r>
    </w:p>
    <w:p>
      <w:pPr>
        <w:spacing w:before="200" w:after="80"/>
      </w:pPr>
      <w:r>
        <w:rPr>
          <w:rFonts w:ascii="Arial" w:hAnsi="Arial"/>
          <w:b/>
          <w:color w:val="1E293B"/>
          <w:sz w:val="22"/>
        </w:rPr>
        <w:t>The Deep Arbitrary Polynomial Chaos Neural Network or how Deep Artificial Neural Networks can solve Uncertainty Quantification Problems</w:t>
      </w:r>
    </w:p>
    <w:p>
      <w:pPr>
        <w:pStyle w:val="ListNumber"/>
        <w:spacing w:before="20" w:after="60" w:line="276" w:lineRule="auto"/>
      </w:pPr>
      <w:r>
        <w:rPr>
          <w:b/>
        </w:rPr>
        <w:t>Core Problem &amp; Objective</w:t>
      </w:r>
      <w:r>
        <w:t xml:space="preserve">: The paper investigates how Deep Artificial Neural Networks (DANNs) can solve Uncertainty Quantification (UQ) problems, proposing the Deep Arbitrary Polynomial Chaos Neural Network (DaPC NN) to address stochastic and UQ challenges </w:t>
      </w:r>
      <w:r>
        <w:rPr>
          <w:b/>
          <w:color w:val="0284C7"/>
          <w:sz w:val="19"/>
        </w:rPr>
        <w:t xml:space="preserve"> [5, 7, 8]</w:t>
      </w:r>
      <w:r>
        <w:t>.</w:t>
      </w:r>
    </w:p>
    <w:p>
      <w:pPr>
        <w:pStyle w:val="ListNumber"/>
        <w:spacing w:before="20" w:after="60" w:line="276" w:lineRule="auto"/>
      </w:pPr>
      <w:r>
        <w:rPr>
          <w:b/>
        </w:rPr>
        <w:t>Methodology &amp; Architecture</w:t>
      </w:r>
      <w:r>
        <w:t xml:space="preserve">: The study compares three approaches: standard arbitrary Polynomial Chaos (aPC) expansions, conventional Deep Artificial Neural Networks (DANN), and the novel Deep Arbitrary Polynomial Chaos Neural Network (DaPC NN) </w:t>
      </w:r>
      <w:r>
        <w:rPr>
          <w:b/>
          <w:color w:val="0284C7"/>
          <w:sz w:val="19"/>
        </w:rPr>
        <w:t xml:space="preserve"> [5, 7]</w:t>
      </w:r>
      <w:r>
        <w:t xml:space="preserve">. Architectures are defined by layer depth </w:t>
      </w:r>
      <w:r>
        <w:rPr>
          <w:rFonts w:ascii="Cambria Math" w:hAnsi="Cambria Math"/>
          <w:i/>
          <w:color w:val="0F2942"/>
        </w:rPr>
        <w:t xml:space="preserve"> L </w:t>
      </w:r>
      <w:r>
        <w:t xml:space="preserve">, node counts </w:t>
      </w:r>
      <w:r>
        <w:rPr>
          <w:rFonts w:ascii="Cambria Math" w:hAnsi="Cambria Math"/>
          <w:i/>
          <w:color w:val="0F2942"/>
        </w:rPr>
        <w:t xml:space="preserve"> N(L) </w:t>
      </w:r>
      <w:r>
        <w:t xml:space="preserve">, degrees of non-linearity </w:t>
      </w:r>
      <w:r>
        <w:rPr>
          <w:rFonts w:ascii="Cambria Math" w:hAnsi="Cambria Math"/>
          <w:i/>
          <w:color w:val="0F2942"/>
        </w:rPr>
        <w:t xml:space="preserve"> d(L) </w:t>
      </w:r>
      <w:r>
        <w:t xml:space="preserve">, activation functions </w:t>
      </w:r>
      <w:r>
        <w:rPr>
          <w:rFonts w:ascii="Cambria Math" w:hAnsi="Cambria Math"/>
          <w:i/>
          <w:color w:val="0F2942"/>
        </w:rPr>
        <w:t xml:space="preserve"> A(L) </w:t>
      </w:r>
      <w:r>
        <w:t xml:space="preserve">, and loss functions (LF) </w:t>
      </w:r>
      <w:r>
        <w:rPr>
          <w:b/>
          <w:color w:val="0284C7"/>
          <w:sz w:val="19"/>
        </w:rPr>
        <w:t xml:space="preserve"> [5]</w:t>
      </w:r>
      <w:r>
        <w:t xml:space="preserve">. DaPC NN incorporates additional degrees of freedom by selecting non-linearity degrees on specific layers, introducing unknown weights tied to previous layer inputs </w:t>
      </w:r>
      <w:r>
        <w:rPr>
          <w:b/>
          <w:color w:val="0284C7"/>
          <w:sz w:val="19"/>
        </w:rPr>
        <w:t xml:space="preserve"> [5]</w:t>
      </w:r>
      <w:r>
        <w:t>.</w:t>
      </w:r>
    </w:p>
    <w:p>
      <w:pPr>
        <w:pStyle w:val="ListNumber"/>
        <w:spacing w:before="20" w:after="60" w:line="276" w:lineRule="auto"/>
      </w:pPr>
      <w:r>
        <w:rPr>
          <w:b/>
        </w:rPr>
        <w:t>Experimental Setup &amp; Datasets</w:t>
      </w:r>
      <w:r>
        <w:t xml:space="preserve">: Test cases include an Ishigami test case with three inputs, an ON-10 test case with ten inputs, and a carbon dioxide benchmark problem with non-linear shock propagation </w:t>
      </w:r>
      <w:r>
        <w:rPr>
          <w:b/>
          <w:color w:val="0284C7"/>
          <w:sz w:val="19"/>
        </w:rPr>
        <w:t xml:space="preserve"> [5, 6, 7]</w:t>
      </w:r>
      <w:r>
        <w:t>. Models are trained on datasets (</w:t>
      </w:r>
      <w:r>
        <w:rPr>
          <w:rFonts w:ascii="Cambria Math" w:hAnsi="Cambria Math"/>
          <w:i/>
          <w:color w:val="0F2942"/>
        </w:rPr>
        <w:t xml:space="preserve"> D_TN </w:t>
      </w:r>
      <w:r>
        <w:t xml:space="preserve">) of sizes </w:t>
      </w:r>
      <w:r>
        <w:rPr>
          <w:rFonts w:ascii="Cambria Math" w:hAnsi="Cambria Math"/>
          <w:i/>
          <w:color w:val="0F2942"/>
        </w:rPr>
        <w:t xml:space="preserve"> T_N = 10, 100 </w:t>
      </w:r>
      <w:r>
        <w:t xml:space="preserve">, and </w:t>
      </w:r>
      <w:r>
        <w:rPr>
          <w:rFonts w:ascii="Cambria Math" w:hAnsi="Cambria Math"/>
          <w:i/>
          <w:color w:val="0F2942"/>
        </w:rPr>
        <w:t xml:space="preserve"> 1000 </w:t>
      </w:r>
      <w:r>
        <w:t>, and validated using validation datasets (</w:t>
      </w:r>
      <w:r>
        <w:rPr>
          <w:rFonts w:ascii="Cambria Math" w:hAnsi="Cambria Math"/>
          <w:i/>
          <w:color w:val="0F2942"/>
        </w:rPr>
        <w:t xml:space="preserve"> D_VN </w:t>
      </w:r>
      <w:r>
        <w:t xml:space="preserve">) of size </w:t>
      </w:r>
      <w:r>
        <w:rPr>
          <w:rFonts w:ascii="Cambria Math" w:hAnsi="Cambria Math"/>
          <w:i/>
          <w:color w:val="0F2942"/>
        </w:rPr>
        <w:t xml:space="preserve"> V_N = 10^3 </w:t>
      </w:r>
      <w:r>
        <w:t xml:space="preserve"> generated via Monte Carlo sampling </w:t>
      </w:r>
      <w:r>
        <w:rPr>
          <w:b/>
          <w:color w:val="0284C7"/>
          <w:sz w:val="19"/>
        </w:rPr>
        <w:t xml:space="preserve"> [6]</w:t>
      </w:r>
      <w:r>
        <w:t>.</w:t>
      </w:r>
    </w:p>
    <w:p>
      <w:pPr>
        <w:pStyle w:val="ListNumber"/>
        <w:spacing w:before="20" w:after="60" w:line="276" w:lineRule="auto"/>
      </w:pPr>
      <w:r>
        <w:rPr>
          <w:b/>
        </w:rPr>
        <w:t>Key Findings &amp; Reported Metrics</w:t>
      </w:r>
      <w:r>
        <w:t xml:space="preserve">: Convergence is assessed via Mean Square Error (MSE), relative error of the mean value, and relative error of the standard deviation </w:t>
      </w:r>
      <w:r>
        <w:rPr>
          <w:b/>
          <w:color w:val="0284C7"/>
          <w:sz w:val="19"/>
        </w:rPr>
        <w:t xml:space="preserve"> [7]</w:t>
      </w:r>
      <w:r>
        <w:t xml:space="preserve">. The DaPC NN reaches faster convergence across all investigated convergence metrics compared to conventional DANN and standard aPC expansions </w:t>
      </w:r>
      <w:r>
        <w:rPr>
          <w:b/>
          <w:color w:val="0284C7"/>
          <w:sz w:val="19"/>
        </w:rPr>
        <w:t xml:space="preserve"> [7]</w:t>
      </w:r>
      <w:r>
        <w:t xml:space="preserve">. The relative errors of the mean and standard deviation are smaller with aPC than with conventional DANN </w:t>
      </w:r>
      <w:r>
        <w:rPr>
          <w:b/>
          <w:color w:val="0284C7"/>
          <w:sz w:val="19"/>
        </w:rPr>
        <w:t xml:space="preserve"> [7]</w:t>
      </w:r>
      <w:r>
        <w:t>.</w:t>
      </w:r>
    </w:p>
    <w:p>
      <w:pPr>
        <w:pStyle w:val="ListNumber"/>
        <w:spacing w:before="20" w:after="60" w:line="276" w:lineRule="auto"/>
      </w:pPr>
      <w:r>
        <w:rPr>
          <w:b/>
        </w:rPr>
        <w:t>Limitations &amp; Open Questions</w:t>
      </w:r>
      <w:r>
        <w:t xml:space="preserve">: Tuning model configurations—such as choosing layers, nodes per layer, non-linearity degrees, and activation functions—poses strong challenges requiring a deep understanding of each underlying machine learning approach </w:t>
      </w:r>
      <w:r>
        <w:rPr>
          <w:b/>
          <w:color w:val="0284C7"/>
          <w:sz w:val="19"/>
        </w:rPr>
        <w:t xml:space="preserve"> [5]</w:t>
      </w:r>
      <w:r>
        <w:t xml:space="preserve">. </w:t>
      </w:r>
      <w:r>
        <w:rPr>
          <w:i/>
        </w:rPr>
        <w:t>Potential limitation (inferred)</w:t>
      </w:r>
      <w:r>
        <w:t>: The trial-and-error burden of configuring numerous hyperparameters across deep stochastic architectures can become computationally intensive for high-dimensional UQ problems.</w:t>
      </w:r>
    </w:p>
    <w:p>
      <w:pPr>
        <w:spacing w:before="40" w:after="120" w:line="276" w:lineRule="auto"/>
      </w:pPr>
      <w:r>
        <w:t>---</w:t>
      </w:r>
    </w:p>
    <w:p>
      <w:pPr>
        <w:spacing w:before="200" w:after="80"/>
      </w:pPr>
      <w:r>
        <w:rPr>
          <w:rFonts w:ascii="Arial" w:hAnsi="Arial"/>
          <w:b/>
          <w:color w:val="1E293B"/>
          <w:sz w:val="22"/>
        </w:rPr>
        <w:t>LegalTurk Optimized BERT for Multi-Label Text Classification and NER</w:t>
      </w:r>
    </w:p>
    <w:p>
      <w:pPr>
        <w:pStyle w:val="ListNumber"/>
        <w:spacing w:before="20" w:after="60" w:line="276" w:lineRule="auto"/>
      </w:pPr>
      <w:r>
        <w:rPr>
          <w:b/>
        </w:rPr>
        <w:t>Core Problem &amp; Objective</w:t>
      </w:r>
      <w:r>
        <w:t xml:space="preserve">: The paper aims to optimize BERT for legal Turkish text processing, specifically targeting downstream tasks of multi-label text classification and Named Entity Recognition (NER) </w:t>
      </w:r>
      <w:r>
        <w:rPr>
          <w:b/>
          <w:color w:val="0284C7"/>
          <w:sz w:val="19"/>
        </w:rPr>
        <w:t xml:space="preserve"> [9, 11]</w:t>
      </w:r>
      <w:r>
        <w:t>.</w:t>
      </w:r>
    </w:p>
    <w:p>
      <w:pPr>
        <w:pStyle w:val="ListNumber"/>
        <w:spacing w:before="20" w:after="60" w:line="276" w:lineRule="auto"/>
      </w:pPr>
      <w:r>
        <w:rPr>
          <w:b/>
        </w:rPr>
        <w:t>Methodology &amp; Architecture</w:t>
      </w:r>
      <w:r>
        <w:t xml:space="preserve">: The study conducts pre-training rounds from scratch on legal corpora and fine-tunes models using the Hold-out method (80% training, 10% validation, 10% test) </w:t>
      </w:r>
      <w:r>
        <w:rPr>
          <w:b/>
          <w:color w:val="0284C7"/>
          <w:sz w:val="19"/>
        </w:rPr>
        <w:t xml:space="preserve"> [9, 10]</w:t>
      </w:r>
      <w:r>
        <w:t xml:space="preserve">. Variants include replacing Next Sentence Prediction (NSP) with Sentence Order Prediction (SOP), modifying Masked Language Modeling (MLM) ratios, and integrating TF-IDF token strategies </w:t>
      </w:r>
      <w:r>
        <w:rPr>
          <w:b/>
          <w:color w:val="0284C7"/>
          <w:sz w:val="19"/>
        </w:rPr>
        <w:t xml:space="preserve"> [10]</w:t>
      </w:r>
      <w:r>
        <w:t xml:space="preserve">. Models are evaluated using Precision, Recall, and F-measure </w:t>
      </w:r>
      <w:r>
        <w:rPr>
          <w:b/>
          <w:color w:val="0284C7"/>
          <w:sz w:val="19"/>
        </w:rPr>
        <w:t xml:space="preserve"> [9]</w:t>
      </w:r>
      <w:r>
        <w:t>.</w:t>
      </w:r>
    </w:p>
    <w:p>
      <w:pPr>
        <w:pStyle w:val="ListNumber"/>
        <w:spacing w:before="20" w:after="60" w:line="276" w:lineRule="auto"/>
      </w:pPr>
      <w:r>
        <w:rPr>
          <w:b/>
        </w:rPr>
        <w:t>Experimental Setup &amp; Datasets</w:t>
      </w:r>
      <w:r>
        <w:t xml:space="preserve">: Annotated data distributions during fine-tuning consist of 614,541 total sentences for NER and 175,279 total sentences for multi-label text classification </w:t>
      </w:r>
      <w:r>
        <w:rPr>
          <w:b/>
          <w:color w:val="0284C7"/>
          <w:sz w:val="19"/>
        </w:rPr>
        <w:t xml:space="preserve"> [9]</w:t>
      </w:r>
      <w:r>
        <w:t xml:space="preserve">. Pre-training models on an initial 50MB corpus are subsequently evaluated on larger corpora sizes (100MB, 500MB, 1GB, and 2GB) and compared against BERTurk ("dbmdz/bert-base-turkish-cased" pre-trained on a 35GB corpus) </w:t>
      </w:r>
      <w:r>
        <w:rPr>
          <w:b/>
          <w:color w:val="0284C7"/>
          <w:sz w:val="19"/>
        </w:rPr>
        <w:t xml:space="preserve"> [9, 10]</w:t>
      </w:r>
      <w:r>
        <w:t>.</w:t>
      </w:r>
    </w:p>
    <w:p>
      <w:pPr>
        <w:pStyle w:val="ListNumber"/>
        <w:spacing w:before="20" w:after="60" w:line="276" w:lineRule="auto"/>
      </w:pPr>
      <w:r>
        <w:rPr>
          <w:b/>
        </w:rPr>
        <w:t>Key Findings &amp; Reported Metrics</w:t>
      </w:r>
      <w:r>
        <w:t xml:space="preserve">: Below is a compact summary of representative fine-tuning results for models pre-trained from scratch on the 50MB corpus </w:t>
      </w:r>
      <w:r>
        <w:rPr>
          <w:b/>
          <w:color w:val="0284C7"/>
          <w:sz w:val="19"/>
        </w:rPr>
        <w:t xml:space="preserve"> [10]</w:t>
      </w:r>
      <w:r>
        <w: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color w:val="1E293B"/>
                <w:sz w:val="19"/>
              </w:rPr>
              <w:t xml:space="preserve">Original BERT: NSP_MLM_80_10_10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84.36</w:t>
            </w:r>
          </w:p>
        </w:tc>
        <w:tc>
          <w:tcPr>
            <w:tcW w:type="dxa" w:w="1337"/>
            <w:shd w:fill="F8FAFC"/>
            <w:tcMar>
              <w:top w:w="100" w:type="dxa"/>
              <w:bottom w:w="100" w:type="dxa"/>
              <w:left w:w="140" w:type="dxa"/>
              <w:right w:w="140" w:type="dxa"/>
            </w:tcMar>
          </w:tcPr>
          <w:p>
            <w:pPr>
              <w:jc w:val="left"/>
            </w:pPr>
            <w:r>
              <w:rPr>
                <w:color w:val="1E293B"/>
                <w:sz w:val="19"/>
              </w:rPr>
              <w:t>48.79</w:t>
            </w:r>
          </w:p>
        </w:tc>
        <w:tc>
          <w:tcPr>
            <w:tcW w:type="dxa" w:w="1337"/>
            <w:shd w:fill="F8FAFC"/>
            <w:tcMar>
              <w:top w:w="100" w:type="dxa"/>
              <w:bottom w:w="100" w:type="dxa"/>
              <w:left w:w="140" w:type="dxa"/>
              <w:right w:w="140" w:type="dxa"/>
            </w:tcMar>
          </w:tcPr>
          <w:p>
            <w:pPr>
              <w:jc w:val="left"/>
            </w:pPr>
            <w:r>
              <w:rPr>
                <w:color w:val="1E293B"/>
                <w:sz w:val="19"/>
              </w:rPr>
              <w:t>61.82</w:t>
            </w:r>
          </w:p>
        </w:tc>
        <w:tc>
          <w:tcPr>
            <w:tcW w:type="dxa" w:w="1337"/>
            <w:shd w:fill="F8FAFC"/>
            <w:tcMar>
              <w:top w:w="100" w:type="dxa"/>
              <w:bottom w:w="100" w:type="dxa"/>
              <w:left w:w="140" w:type="dxa"/>
              <w:right w:w="140" w:type="dxa"/>
            </w:tcMar>
          </w:tcPr>
          <w:p>
            <w:pPr>
              <w:jc w:val="left"/>
            </w:pPr>
            <w:r>
              <w:rPr>
                <w:color w:val="1E293B"/>
                <w:sz w:val="19"/>
              </w:rPr>
              <w:t>50.77</w:t>
            </w:r>
          </w:p>
        </w:tc>
        <w:tc>
          <w:tcPr>
            <w:tcW w:type="dxa" w:w="1337"/>
            <w:shd w:fill="F8FAFC"/>
            <w:tcMar>
              <w:top w:w="100" w:type="dxa"/>
              <w:bottom w:w="100" w:type="dxa"/>
              <w:left w:w="140" w:type="dxa"/>
              <w:right w:w="140" w:type="dxa"/>
            </w:tcMar>
          </w:tcPr>
          <w:p>
            <w:pPr>
              <w:jc w:val="left"/>
            </w:pPr>
            <w:r>
              <w:rPr>
                <w:color w:val="1E293B"/>
                <w:sz w:val="19"/>
              </w:rPr>
              <w:t>73.53</w:t>
            </w:r>
          </w:p>
        </w:tc>
        <w:tc>
          <w:tcPr>
            <w:tcW w:type="dxa" w:w="1337"/>
            <w:shd w:fill="F8FAFC"/>
            <w:tcMar>
              <w:top w:w="100" w:type="dxa"/>
              <w:bottom w:w="100" w:type="dxa"/>
              <w:left w:w="140" w:type="dxa"/>
              <w:right w:w="140" w:type="dxa"/>
            </w:tcMar>
          </w:tcPr>
          <w:p>
            <w:pPr>
              <w:jc w:val="left"/>
            </w:pPr>
            <w:r>
              <w:rPr>
                <w:color w:val="1E293B"/>
                <w:sz w:val="19"/>
              </w:rPr>
              <w:t>60.07</w:t>
            </w:r>
          </w:p>
        </w:tc>
      </w:tr>
      <w:tr>
        <w:tc>
          <w:tcPr>
            <w:tcW w:type="dxa" w:w="1337"/>
            <w:shd w:fill="FFFFFF"/>
            <w:tcMar>
              <w:top w:w="100" w:type="dxa"/>
              <w:bottom w:w="100" w:type="dxa"/>
              <w:left w:w="140" w:type="dxa"/>
              <w:right w:w="140" w:type="dxa"/>
            </w:tcMar>
          </w:tcPr>
          <w:p>
            <w:pPr>
              <w:jc w:val="left"/>
            </w:pPr>
            <w:r>
              <w:rPr>
                <w:color w:val="1E293B"/>
                <w:sz w:val="19"/>
              </w:rPr>
              <w:t xml:space="preserve">SOP_MLM_80_10_10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84.93</w:t>
            </w:r>
          </w:p>
        </w:tc>
        <w:tc>
          <w:tcPr>
            <w:tcW w:type="dxa" w:w="1337"/>
            <w:shd w:fill="FFFFFF"/>
            <w:tcMar>
              <w:top w:w="100" w:type="dxa"/>
              <w:bottom w:w="100" w:type="dxa"/>
              <w:left w:w="140" w:type="dxa"/>
              <w:right w:w="140" w:type="dxa"/>
            </w:tcMar>
          </w:tcPr>
          <w:p>
            <w:pPr>
              <w:jc w:val="left"/>
            </w:pPr>
            <w:r>
              <w:rPr>
                <w:color w:val="1E293B"/>
                <w:sz w:val="19"/>
              </w:rPr>
              <w:t>54.71</w:t>
            </w:r>
          </w:p>
        </w:tc>
        <w:tc>
          <w:tcPr>
            <w:tcW w:type="dxa" w:w="1337"/>
            <w:shd w:fill="FFFFFF"/>
            <w:tcMar>
              <w:top w:w="100" w:type="dxa"/>
              <w:bottom w:w="100" w:type="dxa"/>
              <w:left w:w="140" w:type="dxa"/>
              <w:right w:w="140" w:type="dxa"/>
            </w:tcMar>
          </w:tcPr>
          <w:p>
            <w:pPr>
              <w:jc w:val="left"/>
            </w:pPr>
            <w:r>
              <w:rPr>
                <w:color w:val="1E293B"/>
                <w:sz w:val="19"/>
              </w:rPr>
              <w:t>66.55</w:t>
            </w:r>
          </w:p>
        </w:tc>
        <w:tc>
          <w:tcPr>
            <w:tcW w:type="dxa" w:w="1337"/>
            <w:shd w:fill="FFFFFF"/>
            <w:tcMar>
              <w:top w:w="100" w:type="dxa"/>
              <w:bottom w:w="100" w:type="dxa"/>
              <w:left w:w="140" w:type="dxa"/>
              <w:right w:w="140" w:type="dxa"/>
            </w:tcMar>
          </w:tcPr>
          <w:p>
            <w:pPr>
              <w:jc w:val="left"/>
            </w:pPr>
            <w:r>
              <w:rPr>
                <w:color w:val="1E293B"/>
                <w:sz w:val="19"/>
              </w:rPr>
              <w:t>51.22</w:t>
            </w:r>
          </w:p>
        </w:tc>
        <w:tc>
          <w:tcPr>
            <w:tcW w:type="dxa" w:w="1337"/>
            <w:shd w:fill="FFFFFF"/>
            <w:tcMar>
              <w:top w:w="100" w:type="dxa"/>
              <w:bottom w:w="100" w:type="dxa"/>
              <w:left w:w="140" w:type="dxa"/>
              <w:right w:w="140" w:type="dxa"/>
            </w:tcMar>
          </w:tcPr>
          <w:p>
            <w:pPr>
              <w:jc w:val="left"/>
            </w:pPr>
            <w:r>
              <w:rPr>
                <w:color w:val="1E293B"/>
                <w:sz w:val="19"/>
              </w:rPr>
              <w:t>73.93</w:t>
            </w:r>
          </w:p>
        </w:tc>
        <w:tc>
          <w:tcPr>
            <w:tcW w:type="dxa" w:w="1337"/>
            <w:shd w:fill="FFFFFF"/>
            <w:tcMar>
              <w:top w:w="100" w:type="dxa"/>
              <w:bottom w:w="100" w:type="dxa"/>
              <w:left w:w="140" w:type="dxa"/>
              <w:right w:w="140" w:type="dxa"/>
            </w:tcMar>
          </w:tcPr>
          <w:p>
            <w:pPr>
              <w:jc w:val="left"/>
            </w:pPr>
            <w:r>
              <w:rPr>
                <w:color w:val="1E293B"/>
                <w:sz w:val="19"/>
              </w:rPr>
              <w:t>60.51</w:t>
            </w:r>
          </w:p>
        </w:tc>
      </w:tr>
      <w:tr>
        <w:tc>
          <w:tcPr>
            <w:tcW w:type="dxa" w:w="1337"/>
            <w:shd w:fill="F8FAFC"/>
            <w:tcMar>
              <w:top w:w="100" w:type="dxa"/>
              <w:bottom w:w="100" w:type="dxa"/>
              <w:left w:w="140" w:type="dxa"/>
              <w:right w:w="140" w:type="dxa"/>
            </w:tcMar>
          </w:tcPr>
          <w:p>
            <w:pPr>
              <w:jc w:val="left"/>
            </w:pPr>
            <w:r>
              <w:rPr>
                <w:color w:val="1E293B"/>
                <w:sz w:val="19"/>
              </w:rPr>
              <w:t xml:space="preserve">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86.18</w:t>
            </w:r>
          </w:p>
        </w:tc>
        <w:tc>
          <w:tcPr>
            <w:tcW w:type="dxa" w:w="1337"/>
            <w:shd w:fill="F8FAFC"/>
            <w:tcMar>
              <w:top w:w="100" w:type="dxa"/>
              <w:bottom w:w="100" w:type="dxa"/>
              <w:left w:w="140" w:type="dxa"/>
              <w:right w:w="140" w:type="dxa"/>
            </w:tcMar>
          </w:tcPr>
          <w:p>
            <w:pPr>
              <w:jc w:val="left"/>
            </w:pPr>
            <w:r>
              <w:rPr>
                <w:color w:val="1E293B"/>
                <w:sz w:val="19"/>
              </w:rPr>
              <w:t>61.88</w:t>
            </w:r>
          </w:p>
        </w:tc>
        <w:tc>
          <w:tcPr>
            <w:tcW w:type="dxa" w:w="1337"/>
            <w:shd w:fill="F8FAFC"/>
            <w:tcMar>
              <w:top w:w="100" w:type="dxa"/>
              <w:bottom w:w="100" w:type="dxa"/>
              <w:left w:w="140" w:type="dxa"/>
              <w:right w:w="140" w:type="dxa"/>
            </w:tcMar>
          </w:tcPr>
          <w:p>
            <w:pPr>
              <w:jc w:val="left"/>
            </w:pPr>
            <w:r>
              <w:rPr>
                <w:color w:val="1E293B"/>
                <w:sz w:val="19"/>
              </w:rPr>
              <w:t>72.03</w:t>
            </w:r>
          </w:p>
        </w:tc>
        <w:tc>
          <w:tcPr>
            <w:tcW w:type="dxa" w:w="1337"/>
            <w:shd w:fill="F8FAFC"/>
            <w:tcMar>
              <w:top w:w="100" w:type="dxa"/>
              <w:bottom w:w="100" w:type="dxa"/>
              <w:left w:w="140" w:type="dxa"/>
              <w:right w:w="140" w:type="dxa"/>
            </w:tcMar>
          </w:tcPr>
          <w:p>
            <w:pPr>
              <w:jc w:val="left"/>
            </w:pPr>
            <w:r>
              <w:rPr>
                <w:color w:val="1E293B"/>
                <w:sz w:val="19"/>
              </w:rPr>
              <w:t>70.33</w:t>
            </w:r>
          </w:p>
        </w:tc>
        <w:tc>
          <w:tcPr>
            <w:tcW w:type="dxa" w:w="1337"/>
            <w:shd w:fill="F8FAFC"/>
            <w:tcMar>
              <w:top w:w="100" w:type="dxa"/>
              <w:bottom w:w="100" w:type="dxa"/>
              <w:left w:w="140" w:type="dxa"/>
              <w:right w:w="140" w:type="dxa"/>
            </w:tcMar>
          </w:tcPr>
          <w:p>
            <w:pPr>
              <w:jc w:val="left"/>
            </w:pPr>
            <w:r>
              <w:rPr>
                <w:color w:val="1E293B"/>
                <w:sz w:val="19"/>
              </w:rPr>
              <w:t>82.33</w:t>
            </w:r>
          </w:p>
        </w:tc>
        <w:tc>
          <w:tcPr>
            <w:tcW w:type="dxa" w:w="1337"/>
            <w:shd w:fill="F8FAFC"/>
            <w:tcMar>
              <w:top w:w="100" w:type="dxa"/>
              <w:bottom w:w="100" w:type="dxa"/>
              <w:left w:w="140" w:type="dxa"/>
              <w:right w:w="140" w:type="dxa"/>
            </w:tcMar>
          </w:tcPr>
          <w:p>
            <w:pPr>
              <w:jc w:val="left"/>
            </w:pPr>
            <w:r>
              <w:rPr>
                <w:color w:val="1E293B"/>
                <w:sz w:val="19"/>
              </w:rPr>
              <w:t>75.86</w:t>
            </w:r>
          </w:p>
        </w:tc>
      </w:tr>
      <w:tr>
        <w:tc>
          <w:tcPr>
            <w:tcW w:type="dxa" w:w="1337"/>
            <w:shd w:fill="FFFFFF"/>
            <w:tcMar>
              <w:top w:w="100" w:type="dxa"/>
              <w:bottom w:w="100" w:type="dxa"/>
              <w:left w:w="140" w:type="dxa"/>
              <w:right w:w="140" w:type="dxa"/>
            </w:tcMar>
          </w:tcPr>
          <w:p>
            <w:pPr>
              <w:jc w:val="left"/>
            </w:pPr>
            <w:r>
              <w:rPr>
                <w:color w:val="1E293B"/>
                <w:sz w:val="19"/>
              </w:rPr>
              <w:t xml:space="preserve">MLM_80_0_20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86.31</w:t>
            </w:r>
          </w:p>
        </w:tc>
        <w:tc>
          <w:tcPr>
            <w:tcW w:type="dxa" w:w="1337"/>
            <w:shd w:fill="FFFFFF"/>
            <w:tcMar>
              <w:top w:w="100" w:type="dxa"/>
              <w:bottom w:w="100" w:type="dxa"/>
              <w:left w:w="140" w:type="dxa"/>
              <w:right w:w="140" w:type="dxa"/>
            </w:tcMar>
          </w:tcPr>
          <w:p>
            <w:pPr>
              <w:jc w:val="left"/>
            </w:pPr>
            <w:r>
              <w:rPr>
                <w:color w:val="1E293B"/>
                <w:sz w:val="19"/>
              </w:rPr>
              <w:t>60.05</w:t>
            </w:r>
          </w:p>
        </w:tc>
        <w:tc>
          <w:tcPr>
            <w:tcW w:type="dxa" w:w="1337"/>
            <w:shd w:fill="FFFFFF"/>
            <w:tcMar>
              <w:top w:w="100" w:type="dxa"/>
              <w:bottom w:w="100" w:type="dxa"/>
              <w:left w:w="140" w:type="dxa"/>
              <w:right w:w="140" w:type="dxa"/>
            </w:tcMar>
          </w:tcPr>
          <w:p>
            <w:pPr>
              <w:jc w:val="left"/>
            </w:pPr>
            <w:r>
              <w:rPr>
                <w:color w:val="1E293B"/>
                <w:sz w:val="19"/>
              </w:rPr>
              <w:t>70.82</w:t>
            </w:r>
          </w:p>
        </w:tc>
        <w:tc>
          <w:tcPr>
            <w:tcW w:type="dxa" w:w="1337"/>
            <w:shd w:fill="FFFFFF"/>
            <w:tcMar>
              <w:top w:w="100" w:type="dxa"/>
              <w:bottom w:w="100" w:type="dxa"/>
              <w:left w:w="140" w:type="dxa"/>
              <w:right w:w="140" w:type="dxa"/>
            </w:tcMar>
          </w:tcPr>
          <w:p>
            <w:pPr>
              <w:jc w:val="left"/>
            </w:pPr>
            <w:r>
              <w:rPr>
                <w:color w:val="1E293B"/>
                <w:sz w:val="19"/>
              </w:rPr>
              <w:t>71.85</w:t>
            </w:r>
          </w:p>
        </w:tc>
        <w:tc>
          <w:tcPr>
            <w:tcW w:type="dxa" w:w="1337"/>
            <w:shd w:fill="FFFFFF"/>
            <w:tcMar>
              <w:top w:w="100" w:type="dxa"/>
              <w:bottom w:w="100" w:type="dxa"/>
              <w:left w:w="140" w:type="dxa"/>
              <w:right w:w="140" w:type="dxa"/>
            </w:tcMar>
          </w:tcPr>
          <w:p>
            <w:pPr>
              <w:jc w:val="left"/>
            </w:pPr>
            <w:r>
              <w:rPr>
                <w:color w:val="1E293B"/>
                <w:sz w:val="19"/>
              </w:rPr>
              <w:t>83.47</w:t>
            </w:r>
          </w:p>
        </w:tc>
        <w:tc>
          <w:tcPr>
            <w:tcW w:type="dxa" w:w="1337"/>
            <w:shd w:fill="FFFFFF"/>
            <w:tcMar>
              <w:top w:w="100" w:type="dxa"/>
              <w:bottom w:w="100" w:type="dxa"/>
              <w:left w:w="140" w:type="dxa"/>
              <w:right w:w="140" w:type="dxa"/>
            </w:tcMar>
          </w:tcPr>
          <w:p>
            <w:pPr>
              <w:jc w:val="left"/>
            </w:pPr>
            <w:r>
              <w:rPr>
                <w:color w:val="1E293B"/>
                <w:sz w:val="19"/>
              </w:rPr>
              <w:t>77.23</w:t>
            </w:r>
          </w:p>
        </w:tc>
      </w:tr>
      <w:tr>
        <w:tc>
          <w:tcPr>
            <w:tcW w:type="dxa" w:w="1337"/>
            <w:shd w:fill="F8FAFC"/>
            <w:tcMar>
              <w:top w:w="100" w:type="dxa"/>
              <w:bottom w:w="100" w:type="dxa"/>
              <w:left w:w="140" w:type="dxa"/>
              <w:right w:w="140" w:type="dxa"/>
            </w:tcMar>
          </w:tcPr>
          <w:p>
            <w:pPr>
              <w:jc w:val="left"/>
            </w:pPr>
            <w:r>
              <w:rPr>
                <w:color w:val="1E293B"/>
                <w:sz w:val="19"/>
              </w:rPr>
              <w:t xml:space="preserve">MLM_80_(10_TF_IDF)_10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86.59</w:t>
            </w:r>
          </w:p>
        </w:tc>
        <w:tc>
          <w:tcPr>
            <w:tcW w:type="dxa" w:w="1337"/>
            <w:shd w:fill="F8FAFC"/>
            <w:tcMar>
              <w:top w:w="100" w:type="dxa"/>
              <w:bottom w:w="100" w:type="dxa"/>
              <w:left w:w="140" w:type="dxa"/>
              <w:right w:w="140" w:type="dxa"/>
            </w:tcMar>
          </w:tcPr>
          <w:p>
            <w:pPr>
              <w:jc w:val="left"/>
            </w:pPr>
            <w:r>
              <w:rPr>
                <w:color w:val="1E293B"/>
                <w:sz w:val="19"/>
              </w:rPr>
              <w:t>61.75</w:t>
            </w:r>
          </w:p>
        </w:tc>
        <w:tc>
          <w:tcPr>
            <w:tcW w:type="dxa" w:w="1337"/>
            <w:shd w:fill="F8FAFC"/>
            <w:tcMar>
              <w:top w:w="100" w:type="dxa"/>
              <w:bottom w:w="100" w:type="dxa"/>
              <w:left w:w="140" w:type="dxa"/>
              <w:right w:w="140" w:type="dxa"/>
            </w:tcMar>
          </w:tcPr>
          <w:p>
            <w:pPr>
              <w:jc w:val="left"/>
            </w:pPr>
            <w:r>
              <w:rPr>
                <w:color w:val="1E293B"/>
                <w:sz w:val="19"/>
              </w:rPr>
              <w:t>72.09</w:t>
            </w:r>
          </w:p>
        </w:tc>
        <w:tc>
          <w:tcPr>
            <w:tcW w:type="dxa" w:w="1337"/>
            <w:shd w:fill="F8FAFC"/>
            <w:tcMar>
              <w:top w:w="100" w:type="dxa"/>
              <w:bottom w:w="100" w:type="dxa"/>
              <w:left w:w="140" w:type="dxa"/>
              <w:right w:w="140" w:type="dxa"/>
            </w:tcMar>
          </w:tcPr>
          <w:p>
            <w:pPr>
              <w:jc w:val="left"/>
            </w:pPr>
            <w:r>
              <w:rPr>
                <w:color w:val="1E293B"/>
                <w:sz w:val="19"/>
              </w:rPr>
              <w:t>68.73</w:t>
            </w:r>
          </w:p>
        </w:tc>
        <w:tc>
          <w:tcPr>
            <w:tcW w:type="dxa" w:w="1337"/>
            <w:shd w:fill="F8FAFC"/>
            <w:tcMar>
              <w:top w:w="100" w:type="dxa"/>
              <w:bottom w:w="100" w:type="dxa"/>
              <w:left w:w="140" w:type="dxa"/>
              <w:right w:w="140" w:type="dxa"/>
            </w:tcMar>
          </w:tcPr>
          <w:p>
            <w:pPr>
              <w:jc w:val="left"/>
            </w:pPr>
            <w:r>
              <w:rPr>
                <w:color w:val="1E293B"/>
                <w:sz w:val="19"/>
              </w:rPr>
              <w:t>81.62</w:t>
            </w:r>
          </w:p>
        </w:tc>
        <w:tc>
          <w:tcPr>
            <w:tcW w:type="dxa" w:w="1337"/>
            <w:shd w:fill="F8FAFC"/>
            <w:tcMar>
              <w:top w:w="100" w:type="dxa"/>
              <w:bottom w:w="100" w:type="dxa"/>
              <w:left w:w="140" w:type="dxa"/>
              <w:right w:w="140" w:type="dxa"/>
            </w:tcMar>
          </w:tcPr>
          <w:p>
            <w:pPr>
              <w:jc w:val="left"/>
            </w:pPr>
            <w:r>
              <w:rPr>
                <w:color w:val="1E293B"/>
                <w:sz w:val="19"/>
              </w:rPr>
              <w:t>74.62</w:t>
            </w:r>
          </w:p>
        </w:tc>
      </w:tr>
      <w:tr>
        <w:tc>
          <w:tcPr>
            <w:tcW w:type="dxa" w:w="1337"/>
            <w:shd w:fill="FFFFFF"/>
            <w:tcMar>
              <w:top w:w="100" w:type="dxa"/>
              <w:bottom w:w="100" w:type="dxa"/>
              <w:left w:w="140" w:type="dxa"/>
              <w:right w:w="140" w:type="dxa"/>
            </w:tcMar>
          </w:tcPr>
          <w:p>
            <w:pPr>
              <w:jc w:val="left"/>
            </w:pPr>
            <w:r>
              <w:rPr>
                <w:color w:val="1E293B"/>
                <w:sz w:val="19"/>
              </w:rPr>
              <w:t xml:space="preserve">MLM_80_(20_TF_IDF)_0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86.61</w:t>
            </w:r>
          </w:p>
        </w:tc>
        <w:tc>
          <w:tcPr>
            <w:tcW w:type="dxa" w:w="1337"/>
            <w:shd w:fill="FFFFFF"/>
            <w:tcMar>
              <w:top w:w="100" w:type="dxa"/>
              <w:bottom w:w="100" w:type="dxa"/>
              <w:left w:w="140" w:type="dxa"/>
              <w:right w:w="140" w:type="dxa"/>
            </w:tcMar>
          </w:tcPr>
          <w:p>
            <w:pPr>
              <w:jc w:val="left"/>
            </w:pPr>
            <w:r>
              <w:rPr>
                <w:color w:val="1E293B"/>
                <w:sz w:val="19"/>
              </w:rPr>
              <w:t>61.83</w:t>
            </w:r>
          </w:p>
        </w:tc>
        <w:tc>
          <w:tcPr>
            <w:tcW w:type="dxa" w:w="1337"/>
            <w:shd w:fill="FFFFFF"/>
            <w:tcMar>
              <w:top w:w="100" w:type="dxa"/>
              <w:bottom w:w="100" w:type="dxa"/>
              <w:left w:w="140" w:type="dxa"/>
              <w:right w:w="140" w:type="dxa"/>
            </w:tcMar>
          </w:tcPr>
          <w:p>
            <w:pPr>
              <w:jc w:val="left"/>
            </w:pPr>
            <w:r>
              <w:rPr>
                <w:color w:val="1E293B"/>
                <w:sz w:val="19"/>
              </w:rPr>
              <w:t>72.15</w:t>
            </w:r>
          </w:p>
        </w:tc>
        <w:tc>
          <w:tcPr>
            <w:tcW w:type="dxa" w:w="1337"/>
            <w:shd w:fill="FFFFFF"/>
            <w:tcMar>
              <w:top w:w="100" w:type="dxa"/>
              <w:bottom w:w="100" w:type="dxa"/>
              <w:left w:w="140" w:type="dxa"/>
              <w:right w:w="140" w:type="dxa"/>
            </w:tcMar>
          </w:tcPr>
          <w:p>
            <w:pPr>
              <w:jc w:val="left"/>
            </w:pPr>
            <w:r>
              <w:rPr>
                <w:color w:val="1E293B"/>
                <w:sz w:val="19"/>
              </w:rPr>
              <w:t>67.53</w:t>
            </w:r>
          </w:p>
        </w:tc>
        <w:tc>
          <w:tcPr>
            <w:tcW w:type="dxa" w:w="1337"/>
            <w:shd w:fill="FFFFFF"/>
            <w:tcMar>
              <w:top w:w="100" w:type="dxa"/>
              <w:bottom w:w="100" w:type="dxa"/>
              <w:left w:w="140" w:type="dxa"/>
              <w:right w:w="140" w:type="dxa"/>
            </w:tcMar>
          </w:tcPr>
          <w:p>
            <w:pPr>
              <w:jc w:val="left"/>
            </w:pPr>
            <w:r>
              <w:rPr>
                <w:color w:val="1E293B"/>
                <w:sz w:val="19"/>
              </w:rPr>
              <w:t>81.15</w:t>
            </w:r>
          </w:p>
        </w:tc>
        <w:tc>
          <w:tcPr>
            <w:tcW w:type="dxa" w:w="1337"/>
            <w:shd w:fill="FFFFFF"/>
            <w:tcMar>
              <w:top w:w="100" w:type="dxa"/>
              <w:bottom w:w="100" w:type="dxa"/>
              <w:left w:w="140" w:type="dxa"/>
              <w:right w:w="140" w:type="dxa"/>
            </w:tcMar>
          </w:tcPr>
          <w:p>
            <w:pPr>
              <w:jc w:val="left"/>
            </w:pPr>
            <w:r>
              <w:rPr>
                <w:color w:val="1E293B"/>
                <w:sz w:val="19"/>
              </w:rPr>
              <w:t>73.72</w:t>
            </w:r>
          </w:p>
        </w:tc>
      </w:tr>
    </w:tbl>
    <w:p>
      <w:pPr>
        <w:spacing w:after="120"/>
      </w:pPr>
    </w:p>
    <w:p>
      <w:pPr>
        <w:spacing w:before="40" w:after="120" w:line="276" w:lineRule="auto"/>
      </w:pPr>
      <w:r>
        <w:t xml:space="preserve">Replacing NSP with SOP improves performance, and integrating TF-IDF combinations into the MLM subtask yields competitive F-measures </w:t>
      </w:r>
      <w:r>
        <w:rPr>
          <w:b/>
          <w:color w:val="0284C7"/>
          <w:sz w:val="19"/>
        </w:rPr>
        <w:t xml:space="preserve"> [10]</w:t>
      </w:r>
      <w:r>
        <w:t xml:space="preserve">. Utilizing larger pre-training corpora improves overall model performance </w:t>
      </w:r>
      <w:r>
        <w:rPr>
          <w:b/>
          <w:color w:val="0284C7"/>
          <w:sz w:val="19"/>
        </w:rPr>
        <w:t xml:space="preserve"> [11]</w:t>
      </w:r>
      <w:r>
        <w:t>.</w:t>
      </w:r>
    </w:p>
    <w:p>
      <w:pPr>
        <w:pStyle w:val="ListNumber"/>
        <w:spacing w:before="20" w:after="60" w:line="276" w:lineRule="auto"/>
      </w:pPr>
      <w:r>
        <w:rPr>
          <w:b/>
        </w:rPr>
        <w:t>Limitations &amp; Open Questions</w:t>
      </w:r>
      <w:r>
        <w:t xml:space="preserve">: Author-stated limitations include using text pre-training extracted strictly from publicly available legal domain theses due to the sensitive nature of legal data (rather than direct legal professionals' files), focusing solely on legal Turkish text, restricting downstream tasks to NER and multi-label classification, training models for only a single epoch, applying TF-IDF to tokens rather than whole words, and utilizing a smaller pre-training corpus than BERTurk's 35GB base </w:t>
      </w:r>
      <w:r>
        <w:rPr>
          <w:b/>
          <w:color w:val="0284C7"/>
          <w:sz w:val="19"/>
        </w:rPr>
        <w:t xml:space="preserve"> [10, 11]</w:t>
      </w:r>
      <w:r>
        <w:t xml:space="preserve">. Future work will expand to files from legal professionals, multilingual corpora, additional downstream tasks (question answering, binary classification), multi-epoch training, whole-word TF-IDF adaptations, and larger corpora </w:t>
      </w:r>
      <w:r>
        <w:rPr>
          <w:b/>
          <w:color w:val="0284C7"/>
          <w:sz w:val="19"/>
        </w:rPr>
        <w:t xml:space="preserve"> [11]</w:t>
      </w:r>
      <w:r>
        <w:t>.</w:t>
      </w:r>
    </w:p>
    <w:p>
      <w:pPr>
        <w:spacing w:before="40" w:after="120" w:line="276" w:lineRule="auto"/>
      </w:pPr>
      <w:r>
        <w:t>---</w:t>
      </w:r>
    </w:p>
    <w:p>
      <w:pPr>
        <w:spacing w:before="200" w:after="80"/>
      </w:pPr>
      <w:r>
        <w:rPr>
          <w:rFonts w:ascii="Arial" w:hAnsi="Arial"/>
          <w:b/>
          <w:color w:val="1E293B"/>
          <w:sz w:val="22"/>
        </w:rPr>
        <w:t>2-Selmer Groups over Multiquadratic Extensions</w:t>
      </w:r>
    </w:p>
    <w:p>
      <w:pPr>
        <w:pStyle w:val="ListNumber"/>
        <w:spacing w:before="20" w:after="60" w:line="276" w:lineRule="auto"/>
      </w:pPr>
      <w:r>
        <w:rPr>
          <w:b/>
        </w:rPr>
        <w:t>Core Problem &amp; Objective</w:t>
      </w:r>
      <w:r>
        <w:t xml:space="preserve">: The article investigates the average dimension of 2-Selmer groups of elliptic curves over multiquadratic extensions, seeking upper and lower bounds for this average </w:t>
      </w:r>
      <w:r>
        <w:rPr>
          <w:b/>
          <w:color w:val="0284C7"/>
          <w:sz w:val="19"/>
        </w:rPr>
        <w:t xml:space="preserve"> [12, 15]</w:t>
      </w:r>
      <w:r>
        <w:t>.</w:t>
      </w:r>
    </w:p>
    <w:p>
      <w:pPr>
        <w:pStyle w:val="ListNumber"/>
        <w:spacing w:before="20" w:after="60" w:line="276" w:lineRule="auto"/>
      </w:pPr>
      <w:r>
        <w:rPr>
          <w:b/>
        </w:rPr>
        <w:t>Methodology &amp; Architecture</w:t>
      </w:r>
      <w:r>
        <w:t xml:space="preserve">: The study focuses on situations where </w:t>
      </w:r>
      <w:r>
        <w:rPr>
          <w:rFonts w:ascii="Cambria Math" w:hAnsi="Cambria Math"/>
          <w:i/>
          <w:color w:val="0F2942"/>
        </w:rPr>
        <w:t xml:space="preserve"> K/mathbbQ </w:t>
      </w:r>
      <w:r>
        <w:t xml:space="preserve"> is a multiquadratic extension (a nontrivial finite Galois extension with an elementary abelian 2-group Galois group) </w:t>
      </w:r>
      <w:r>
        <w:rPr>
          <w:b/>
          <w:color w:val="0284C7"/>
          <w:sz w:val="19"/>
        </w:rPr>
        <w:t xml:space="preserve"> [12]</w:t>
      </w:r>
      <w:r>
        <w:t xml:space="preserve">. It studies the genus theory invariant for 2-Selmer groups over such fields and utilizes a variant of the Ekedahl sieve for local sums, transforming the average of the genus theory into a sum of </w:t>
      </w:r>
      <w:r>
        <w:rPr>
          <w:rFonts w:ascii="Cambria Math" w:hAnsi="Cambria Math"/>
          <w:i/>
          <w:color w:val="0F2942"/>
        </w:rPr>
        <w:t xml:space="preserve"> p </w:t>
      </w:r>
      <w:r>
        <w:t xml:space="preserve">-adic integrals of local norm indices </w:t>
      </w:r>
      <w:r>
        <w:rPr>
          <w:b/>
          <w:color w:val="0284C7"/>
          <w:sz w:val="19"/>
        </w:rPr>
        <w:t xml:space="preserve"> [15, 16]</w:t>
      </w:r>
      <w:r>
        <w:t xml:space="preserve">. Tate's Algorithm is applied for minimal models in residue characteristics </w:t>
      </w:r>
      <w:r>
        <w:rPr>
          <w:b/>
          <w:color w:val="0284C7"/>
          <w:sz w:val="19"/>
        </w:rPr>
        <w:t xml:space="preserve"> [13, 14]</w:t>
      </w:r>
      <w:r>
        <w:t>.</w:t>
      </w:r>
    </w:p>
    <w:p>
      <w:pPr>
        <w:pStyle w:val="ListNumber"/>
        <w:spacing w:before="20" w:after="60" w:line="276" w:lineRule="auto"/>
      </w:pPr>
      <w:r>
        <w:rPr>
          <w:b/>
        </w:rPr>
        <w:t>Experimental Setup &amp; Datasets</w:t>
      </w:r>
      <w:r>
        <w:t xml:space="preserve">: The setup analyzes families of all elliptic curves defined over </w:t>
      </w:r>
      <w:r>
        <w:rPr>
          <w:rFonts w:ascii="Cambria Math" w:hAnsi="Cambria Math"/>
          <w:i/>
          <w:color w:val="0F2942"/>
        </w:rPr>
        <w:t xml:space="preserve"> mathbbQ </w:t>
      </w:r>
      <w:r>
        <w:t xml:space="preserve"> ordered by naïve height up to </w:t>
      </w:r>
      <w:r>
        <w:rPr>
          <w:rFonts w:ascii="Cambria Math" w:hAnsi="Cambria Math"/>
          <w:i/>
          <w:color w:val="0F2942"/>
        </w:rPr>
        <w:t xml:space="preserve"> X </w:t>
      </w:r>
      <w:r>
        <w:t xml:space="preserve"> as </w:t>
      </w:r>
      <w:r>
        <w:rPr>
          <w:rFonts w:ascii="Cambria Math" w:hAnsi="Cambria Math"/>
          <w:i/>
          <w:color w:val="0F2942"/>
        </w:rPr>
        <w:t xml:space="preserve"> X to ∞ </w:t>
      </w:r>
      <w:r>
        <w:t xml:space="preserve"> </w:t>
      </w:r>
      <w:r>
        <w:rPr>
          <w:b/>
          <w:color w:val="0284C7"/>
          <w:sz w:val="19"/>
        </w:rPr>
        <w:t xml:space="preserve"> [12, 15]</w:t>
      </w:r>
      <w:r>
        <w:t xml:space="preserve">. Local norm indices and </w:t>
      </w:r>
      <w:r>
        <w:rPr>
          <w:rFonts w:ascii="Cambria Math" w:hAnsi="Cambria Math"/>
          <w:i/>
          <w:color w:val="0F2942"/>
        </w:rPr>
        <w:t xml:space="preserve"> p </w:t>
      </w:r>
      <w:r>
        <w:t xml:space="preserve">-adic averages are systematically evaluated across multiquadratic extensions </w:t>
      </w:r>
      <w:r>
        <w:rPr>
          <w:b/>
          <w:color w:val="0284C7"/>
          <w:sz w:val="19"/>
        </w:rPr>
        <w:t xml:space="preserve"> [16]</w:t>
      </w:r>
      <w:r>
        <w:t>.</w:t>
      </w:r>
    </w:p>
    <w:p>
      <w:pPr>
        <w:pStyle w:val="ListNumber"/>
        <w:spacing w:before="20" w:after="60" w:line="276" w:lineRule="auto"/>
      </w:pPr>
      <w:r>
        <w:rPr>
          <w:b/>
        </w:rPr>
        <w:t>Key Findings &amp; Reported Metrics</w:t>
      </w:r>
      <w:r>
        <w:t xml:space="preserve">: The research establishes stronger upper bounds for </w:t>
      </w:r>
      <w:r>
        <w:rPr>
          <w:rFonts w:ascii="Cambria Math" w:hAnsi="Cambria Math"/>
          <w:i/>
          <w:color w:val="0F2942"/>
        </w:rPr>
        <w:t xml:space="preserve"> mathcalA^+(K) </w:t>
      </w:r>
      <w:r>
        <w:t xml:space="preserve"> and positive lower bounds for </w:t>
      </w:r>
      <w:r>
        <w:rPr>
          <w:rFonts w:ascii="Cambria Math" w:hAnsi="Cambria Math"/>
          <w:i/>
          <w:color w:val="0F2942"/>
        </w:rPr>
        <w:t xml:space="preserve"> mathcalA^-(K) </w:t>
      </w:r>
      <w:r>
        <w:t xml:space="preserve"> in multiquadratic extensions, which are very close in the case of quadratic fields </w:t>
      </w:r>
      <w:r>
        <w:rPr>
          <w:b/>
          <w:color w:val="0284C7"/>
          <w:sz w:val="19"/>
        </w:rPr>
        <w:t xml:space="preserve"> [12]</w:t>
      </w:r>
      <w:r>
        <w:t xml:space="preserve">. It proves that in the sieved set, the average equals the sum of corresponding </w:t>
      </w:r>
      <w:r>
        <w:rPr>
          <w:rFonts w:ascii="Cambria Math" w:hAnsi="Cambria Math"/>
          <w:i/>
          <w:color w:val="0F2942"/>
        </w:rPr>
        <w:t xml:space="preserve"> p </w:t>
      </w:r>
      <w:r>
        <w:t xml:space="preserve">-adic averages </w:t>
      </w:r>
      <w:r>
        <w:rPr>
          <w:b/>
          <w:color w:val="0284C7"/>
          <w:sz w:val="19"/>
        </w:rPr>
        <w:t xml:space="preserve"> [16]</w:t>
      </w:r>
      <w:r>
        <w:t>.</w:t>
      </w:r>
    </w:p>
    <w:p>
      <w:pPr>
        <w:pStyle w:val="ListNumber"/>
        <w:spacing w:before="20" w:after="60" w:line="276" w:lineRule="auto"/>
      </w:pPr>
      <w:r>
        <w:rPr>
          <w:b/>
        </w:rPr>
        <w:t>Limitations &amp; Open Questions</w:t>
      </w:r>
      <w:r>
        <w:t xml:space="preserve">: </w:t>
      </w:r>
      <w:r>
        <w:rPr>
          <w:i/>
        </w:rPr>
        <w:t>Author-stated limitations/scope</w:t>
      </w:r>
      <w:r>
        <w:t xml:space="preserve">: The analysis is mathematically constrained to multiquadratic extensions and the family of elliptic curves ordered by height </w:t>
      </w:r>
      <w:r>
        <w:rPr>
          <w:b/>
          <w:color w:val="0284C7"/>
          <w:sz w:val="19"/>
        </w:rPr>
        <w:t xml:space="preserve"> [12, 15]</w:t>
      </w:r>
      <w:r>
        <w:t xml:space="preserve">. </w:t>
      </w:r>
      <w:r>
        <w:rPr>
          <w:i/>
        </w:rPr>
        <w:t>Potential limitation (inferred)</w:t>
      </w:r>
      <w:r>
        <w:t>: The derived bounds rely heavily on the technical machinery of the Ekedahl sieve and genus theory invariants, which may limit direct generalization to non-Galois or infinite extensions without substantial adaptation.</w:t>
      </w:r>
    </w:p>
    <w:p>
      <w:pPr>
        <w:spacing w:before="40" w:after="120" w:line="276" w:lineRule="auto"/>
      </w:pPr>
      <w:r>
        <w:t>---</w:t>
      </w:r>
    </w:p>
    <w:p>
      <w:pPr>
        <w:spacing w:before="200" w:after="80"/>
      </w:pPr>
      <w:r>
        <w:rPr>
          <w:rFonts w:ascii="Arial" w:hAnsi="Arial"/>
          <w:b/>
          <w:color w:val="1E293B"/>
          <w:sz w:val="22"/>
        </w:rPr>
        <w:t>Gated Sparse Attention: Combining Computational Efficiency with High Performance</w:t>
      </w:r>
    </w:p>
    <w:p>
      <w:pPr>
        <w:pStyle w:val="ListNumber"/>
        <w:spacing w:before="20" w:after="60" w:line="276" w:lineRule="auto"/>
      </w:pPr>
      <w:r>
        <w:rPr>
          <w:b/>
        </w:rPr>
        <w:t>Core Problem &amp; Objective</w:t>
      </w:r>
      <w:r>
        <w:t xml:space="preserve">: The paper introduces Gated Sparse Attention (GSA) to combine the computational efficiency of sparse token selection with the stability and expressiveness of gating mechanisms in transformer architectures </w:t>
      </w:r>
      <w:r>
        <w:rPr>
          <w:b/>
          <w:color w:val="0284C7"/>
          <w:sz w:val="19"/>
        </w:rPr>
        <w:t xml:space="preserve"> [18, 19]</w:t>
      </w:r>
      <w:r>
        <w:t>.</w:t>
      </w:r>
    </w:p>
    <w:p>
      <w:pPr>
        <w:pStyle w:val="ListNumber"/>
        <w:spacing w:before="20" w:after="60" w:line="276" w:lineRule="auto"/>
      </w:pPr>
      <w:r>
        <w:rPr>
          <w:b/>
        </w:rPr>
        <w:t>Methodology &amp; Architecture</w:t>
      </w:r>
      <w:r>
        <w:t xml:space="preserve">: GSA rests on three core components: (1) a gated lightning indexer that replaces ReLU scoring with sigmoid units yielding probabilities in </w:t>
      </w:r>
      <w:r>
        <w:rPr>
          <w:rFonts w:ascii="Cambria Math" w:hAnsi="Cambria Math"/>
          <w:i/>
          <w:color w:val="0F2942"/>
        </w:rPr>
        <w:t xml:space="preserve"> (0, H_I) </w:t>
      </w:r>
      <w:r>
        <w:t xml:space="preserve"> that respond smoothly to gradient updates; (2) an adaptive sparsity controller that modulates selection budget </w:t>
      </w:r>
      <w:r>
        <w:rPr>
          <w:rFonts w:ascii="Cambria Math" w:hAnsi="Cambria Math"/>
          <w:i/>
          <w:color w:val="0F2942"/>
        </w:rPr>
        <w:t xml:space="preserve"> k_t </w:t>
      </w:r>
      <w:r>
        <w:t xml:space="preserve"> based on score variance (high variance permits aggressive pruning, low variance expands context windows); and (3) dual gating applied to values before aggregation (</w:t>
      </w:r>
      <w:r>
        <w:rPr>
          <w:rFonts w:ascii="Cambria Math" w:hAnsi="Cambria Math"/>
          <w:i/>
          <w:color w:val="0F2942"/>
        </w:rPr>
        <w:t xml:space="preserve"> G_2 </w:t>
      </w:r>
      <w:r>
        <w:t>) and outputs after scaled dot-product attention (</w:t>
      </w:r>
      <w:r>
        <w:rPr>
          <w:rFonts w:ascii="Cambria Math" w:hAnsi="Cambria Math"/>
          <w:i/>
          <w:color w:val="0F2942"/>
        </w:rPr>
        <w:t xml:space="preserve"> G_1 </w:t>
      </w:r>
      <w:r>
        <w:t xml:space="preserve">) to break the rank bottleneck and suppress irrelevant information </w:t>
      </w:r>
      <w:r>
        <w:rPr>
          <w:b/>
          <w:color w:val="0284C7"/>
          <w:sz w:val="19"/>
        </w:rPr>
        <w:t xml:space="preserve"> [19]</w:t>
      </w:r>
      <w:r>
        <w:t>.</w:t>
      </w:r>
    </w:p>
    <w:p>
      <w:pPr>
        <w:pStyle w:val="ListNumber"/>
        <w:spacing w:before="20" w:after="60" w:line="276" w:lineRule="auto"/>
      </w:pPr>
      <w:r>
        <w:rPr>
          <w:b/>
        </w:rPr>
        <w:t>Experimental Setup &amp; Datasets</w:t>
      </w:r>
      <w:r>
        <w:t xml:space="preserve">: The study trains 1.7B-parameter models from scratch on 400B tokens drawn from SlimPajama </w:t>
      </w:r>
      <w:r>
        <w:rPr>
          <w:b/>
          <w:color w:val="0284C7"/>
          <w:sz w:val="19"/>
        </w:rPr>
        <w:t xml:space="preserve"> [17]</w:t>
      </w:r>
      <w:r>
        <w:t xml:space="preserve">. Models use 24 layers, hidden dimension 2048, 16 query heads, 4 key-value heads, and SwiGLU feed-forward blocks of width 5504 with a 4K context window extended to 128K via YaRN </w:t>
      </w:r>
      <w:r>
        <w:rPr>
          <w:b/>
          <w:color w:val="0284C7"/>
          <w:sz w:val="19"/>
        </w:rPr>
        <w:t xml:space="preserve"> [17]</w:t>
      </w:r>
      <w:r>
        <w:t xml:space="preserve">. Evaluations use WikiText-103 and C4 datasets for language modeling alongside five downstream benchmarks </w:t>
      </w:r>
      <w:r>
        <w:rPr>
          <w:b/>
          <w:color w:val="0284C7"/>
          <w:sz w:val="19"/>
        </w:rPr>
        <w:t xml:space="preserve"> [17]</w:t>
      </w:r>
      <w:r>
        <w:t>.</w:t>
      </w:r>
    </w:p>
    <w:p>
      <w:pPr>
        <w:pStyle w:val="ListNumber"/>
        <w:spacing w:before="20" w:after="60" w:line="276" w:lineRule="auto"/>
      </w:pPr>
      <w:r>
        <w:rPr>
          <w:b/>
        </w:rPr>
        <w:t>Key Findings &amp; Reported Metrics</w:t>
      </w:r>
      <w:r>
        <w:t xml:space="preserve">: Below is a compact summary of perplexity results on WikiText-103 and C4, alongside ablation studies on sparsity levels </w:t>
      </w:r>
      <w:r>
        <w:rPr>
          <w:rFonts w:ascii="Cambria Math" w:hAnsi="Cambria Math"/>
          <w:i/>
          <w:color w:val="0F2942"/>
        </w:rPr>
        <w:t xml:space="preserve"> k </w:t>
      </w:r>
      <w:r>
        <w:t>:</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 / Sparsity Variant</w:t>
            </w:r>
          </w:p>
        </w:tc>
        <w:tc>
          <w:tcPr>
            <w:tcW w:type="dxa" w:w="3120"/>
            <w:shd w:fill="0F2942"/>
            <w:tcMar>
              <w:top w:w="120" w:type="dxa"/>
              <w:bottom w:w="120" w:type="dxa"/>
              <w:left w:w="140" w:type="dxa"/>
              <w:right w:w="140" w:type="dxa"/>
            </w:tcMar>
          </w:tcPr>
          <w:p>
            <w:pPr>
              <w:jc w:val="left"/>
            </w:pPr>
            <w:r>
              <w:rPr>
                <w:b/>
                <w:color w:val="FFFFFF"/>
                <w:sz w:val="19"/>
              </w:rPr>
              <w:t xml:space="preserve">WikiText-103 Perplexity (lower is better) </w:t>
            </w:r>
            <w:r>
              <w:rPr>
                <w:b/>
                <w:color w:val="FFFFFF"/>
                <w:sz w:val="19"/>
              </w:rPr>
              <w:t xml:space="preserve"> [17]</w:t>
            </w:r>
          </w:p>
        </w:tc>
        <w:tc>
          <w:tcPr>
            <w:tcW w:type="dxa" w:w="3120"/>
            <w:shd w:fill="0F2942"/>
            <w:tcMar>
              <w:top w:w="120" w:type="dxa"/>
              <w:bottom w:w="120" w:type="dxa"/>
              <w:left w:w="140" w:type="dxa"/>
              <w:right w:w="140" w:type="dxa"/>
            </w:tcMar>
          </w:tcPr>
          <w:p>
            <w:pPr>
              <w:jc w:val="left"/>
            </w:pPr>
            <w:r>
              <w:rPr>
                <w:b/>
                <w:color w:val="FFFFFF"/>
                <w:sz w:val="19"/>
              </w:rPr>
              <w:t xml:space="preserve">C4 Perplexity (lower is better) </w:t>
            </w:r>
            <w:r>
              <w:rPr>
                <w:b/>
                <w:color w:val="FFFFFF"/>
                <w:sz w:val="19"/>
              </w:rPr>
              <w:t xml:space="preserve"> [17]</w:t>
            </w:r>
          </w:p>
        </w:tc>
      </w:tr>
      <w:tr>
        <w:tc>
          <w:tcPr>
            <w:tcW w:type="dxa" w:w="3120"/>
            <w:shd w:fill="F8FAFC"/>
            <w:tcMar>
              <w:top w:w="100" w:type="dxa"/>
              <w:bottom w:w="100" w:type="dxa"/>
              <w:left w:w="140" w:type="dxa"/>
              <w:right w:w="140" w:type="dxa"/>
            </w:tcMar>
          </w:tcPr>
          <w:p>
            <w:pPr>
              <w:jc w:val="left"/>
            </w:pPr>
            <w:r>
              <w:rPr>
                <w:color w:val="1E293B"/>
                <w:sz w:val="19"/>
              </w:rPr>
              <w:t xml:space="preserve">Standard </w:t>
            </w:r>
            <w:r>
              <w:rPr>
                <w:b/>
                <w:color w:val="1E293B"/>
                <w:sz w:val="19"/>
              </w:rPr>
              <w:t xml:space="preserve"> [17]</w:t>
            </w:r>
          </w:p>
        </w:tc>
        <w:tc>
          <w:tcPr>
            <w:tcW w:type="dxa" w:w="3120"/>
            <w:shd w:fill="F8FAFC"/>
            <w:tcMar>
              <w:top w:w="100" w:type="dxa"/>
              <w:bottom w:w="100" w:type="dxa"/>
              <w:left w:w="140" w:type="dxa"/>
              <w:right w:w="140" w:type="dxa"/>
            </w:tcMar>
          </w:tcPr>
          <w:p>
            <w:pPr>
              <w:jc w:val="left"/>
            </w:pPr>
            <w:r>
              <w:rPr>
                <w:color w:val="1E293B"/>
                <w:sz w:val="19"/>
              </w:rPr>
              <w:t>6.03</w:t>
            </w:r>
          </w:p>
        </w:tc>
        <w:tc>
          <w:tcPr>
            <w:tcW w:type="dxa" w:w="3120"/>
            <w:shd w:fill="F8FAFC"/>
            <w:tcMar>
              <w:top w:w="100" w:type="dxa"/>
              <w:bottom w:w="100" w:type="dxa"/>
              <w:left w:w="140" w:type="dxa"/>
              <w:right w:w="140" w:type="dxa"/>
            </w:tcMar>
          </w:tcPr>
          <w:p>
            <w:pPr>
              <w:jc w:val="left"/>
            </w:pPr>
            <w:r>
              <w:rPr>
                <w:color w:val="1E293B"/>
                <w:sz w:val="19"/>
              </w:rPr>
              <w:t>7.82</w:t>
            </w:r>
          </w:p>
        </w:tc>
      </w:tr>
      <w:tr>
        <w:tc>
          <w:tcPr>
            <w:tcW w:type="dxa" w:w="3120"/>
            <w:shd w:fill="FFFFFF"/>
            <w:tcMar>
              <w:top w:w="100" w:type="dxa"/>
              <w:bottom w:w="100" w:type="dxa"/>
              <w:left w:w="140" w:type="dxa"/>
              <w:right w:w="140" w:type="dxa"/>
            </w:tcMar>
          </w:tcPr>
          <w:p>
            <w:pPr>
              <w:jc w:val="left"/>
            </w:pPr>
            <w:r>
              <w:rPr>
                <w:color w:val="1E293B"/>
                <w:sz w:val="19"/>
              </w:rPr>
              <w:t xml:space="preserve">Sparse only </w:t>
            </w:r>
            <w:r>
              <w:rPr>
                <w:b/>
                <w:color w:val="1E293B"/>
                <w:sz w:val="19"/>
              </w:rPr>
              <w:t xml:space="preserve"> [17]</w:t>
            </w:r>
          </w:p>
        </w:tc>
        <w:tc>
          <w:tcPr>
            <w:tcW w:type="dxa" w:w="3120"/>
            <w:shd w:fill="FFFFFF"/>
            <w:tcMar>
              <w:top w:w="100" w:type="dxa"/>
              <w:bottom w:w="100" w:type="dxa"/>
              <w:left w:w="140" w:type="dxa"/>
              <w:right w:w="140" w:type="dxa"/>
            </w:tcMar>
          </w:tcPr>
          <w:p>
            <w:pPr>
              <w:jc w:val="left"/>
            </w:pPr>
            <w:r>
              <w:rPr>
                <w:color w:val="1E293B"/>
                <w:sz w:val="19"/>
              </w:rPr>
              <w:t>6.02</w:t>
            </w:r>
          </w:p>
        </w:tc>
        <w:tc>
          <w:tcPr>
            <w:tcW w:type="dxa" w:w="3120"/>
            <w:shd w:fill="FFFFFF"/>
            <w:tcMar>
              <w:top w:w="100" w:type="dxa"/>
              <w:bottom w:w="100" w:type="dxa"/>
              <w:left w:w="140" w:type="dxa"/>
              <w:right w:w="140" w:type="dxa"/>
            </w:tcMar>
          </w:tcPr>
          <w:p>
            <w:pPr>
              <w:jc w:val="left"/>
            </w:pPr>
            <w:r>
              <w:rPr>
                <w:color w:val="1E293B"/>
                <w:sz w:val="19"/>
              </w:rPr>
              <w:t>7.79</w:t>
            </w:r>
          </w:p>
        </w:tc>
      </w:tr>
      <w:tr>
        <w:tc>
          <w:tcPr>
            <w:tcW w:type="dxa" w:w="3120"/>
            <w:shd w:fill="F8FAFC"/>
            <w:tcMar>
              <w:top w:w="100" w:type="dxa"/>
              <w:bottom w:w="100" w:type="dxa"/>
              <w:left w:w="140" w:type="dxa"/>
              <w:right w:w="140" w:type="dxa"/>
            </w:tcMar>
          </w:tcPr>
          <w:p>
            <w:pPr>
              <w:jc w:val="left"/>
            </w:pPr>
            <w:r>
              <w:rPr>
                <w:color w:val="1E293B"/>
                <w:sz w:val="19"/>
              </w:rPr>
              <w:t xml:space="preserve">Gated only </w:t>
            </w:r>
            <w:r>
              <w:rPr>
                <w:b/>
                <w:color w:val="1E293B"/>
                <w:sz w:val="19"/>
              </w:rPr>
              <w:t xml:space="preserve"> [17]</w:t>
            </w:r>
          </w:p>
        </w:tc>
        <w:tc>
          <w:tcPr>
            <w:tcW w:type="dxa" w:w="3120"/>
            <w:shd w:fill="F8FAFC"/>
            <w:tcMar>
              <w:top w:w="100" w:type="dxa"/>
              <w:bottom w:w="100" w:type="dxa"/>
              <w:left w:w="140" w:type="dxa"/>
              <w:right w:w="140" w:type="dxa"/>
            </w:tcMar>
          </w:tcPr>
          <w:p>
            <w:pPr>
              <w:jc w:val="left"/>
            </w:pPr>
            <w:r>
              <w:rPr>
                <w:color w:val="1E293B"/>
                <w:sz w:val="19"/>
              </w:rPr>
              <w:t>5.76</w:t>
            </w:r>
          </w:p>
        </w:tc>
        <w:tc>
          <w:tcPr>
            <w:tcW w:type="dxa" w:w="3120"/>
            <w:shd w:fill="F8FAFC"/>
            <w:tcMar>
              <w:top w:w="100" w:type="dxa"/>
              <w:bottom w:w="100" w:type="dxa"/>
              <w:left w:w="140" w:type="dxa"/>
              <w:right w:w="140" w:type="dxa"/>
            </w:tcMar>
          </w:tcPr>
          <w:p>
            <w:pPr>
              <w:jc w:val="left"/>
            </w:pPr>
            <w:r>
              <w:rPr>
                <w:color w:val="1E293B"/>
                <w:sz w:val="19"/>
              </w:rPr>
              <w:t>7.45</w:t>
            </w:r>
          </w:p>
        </w:tc>
      </w:tr>
      <w:tr>
        <w:tc>
          <w:tcPr>
            <w:tcW w:type="dxa" w:w="3120"/>
            <w:shd w:fill="FFFFFF"/>
            <w:tcMar>
              <w:top w:w="100" w:type="dxa"/>
              <w:bottom w:w="100" w:type="dxa"/>
              <w:left w:w="140" w:type="dxa"/>
              <w:right w:w="140" w:type="dxa"/>
            </w:tcMar>
          </w:tcPr>
          <w:p>
            <w:pPr>
              <w:jc w:val="left"/>
            </w:pPr>
            <w:r>
              <w:rPr>
                <w:color w:val="1E293B"/>
                <w:sz w:val="19"/>
              </w:rPr>
              <w:t xml:space="preserve">GSA </w:t>
            </w:r>
            <w:r>
              <w:rPr>
                <w:b/>
                <w:color w:val="1E293B"/>
                <w:sz w:val="19"/>
              </w:rPr>
              <w:t xml:space="preserve"> [17]</w:t>
            </w:r>
          </w:p>
        </w:tc>
        <w:tc>
          <w:tcPr>
            <w:tcW w:type="dxa" w:w="3120"/>
            <w:shd w:fill="FFFFFF"/>
            <w:tcMar>
              <w:top w:w="100" w:type="dxa"/>
              <w:bottom w:w="100" w:type="dxa"/>
              <w:left w:w="140" w:type="dxa"/>
              <w:right w:w="140" w:type="dxa"/>
            </w:tcMar>
          </w:tcPr>
          <w:p>
            <w:pPr>
              <w:jc w:val="left"/>
            </w:pPr>
            <w:r>
              <w:rPr>
                <w:color w:val="1E293B"/>
                <w:sz w:val="19"/>
              </w:rPr>
              <w:t>5.70</w:t>
            </w:r>
          </w:p>
        </w:tc>
        <w:tc>
          <w:tcPr>
            <w:tcW w:type="dxa" w:w="3120"/>
            <w:shd w:fill="FFFFFF"/>
            <w:tcMar>
              <w:top w:w="100" w:type="dxa"/>
              <w:bottom w:w="100" w:type="dxa"/>
              <w:left w:w="140" w:type="dxa"/>
              <w:right w:w="140" w:type="dxa"/>
            </w:tcMar>
          </w:tcPr>
          <w:p>
            <w:pPr>
              <w:jc w:val="left"/>
            </w:pPr>
            <w:r>
              <w:rPr>
                <w:color w:val="1E293B"/>
                <w:sz w:val="19"/>
              </w:rPr>
              <w:t>7.38</w:t>
            </w:r>
          </w:p>
        </w:tc>
      </w:tr>
    </w:tbl>
    <w:p>
      <w:pPr>
        <w:spacing w:after="120"/>
      </w:pPr>
    </w:p>
    <w:p>
      <w:pPr>
        <w:spacing w:before="40" w:after="120" w:line="276" w:lineRule="auto"/>
      </w:pPr>
      <w:r>
        <w:rPr>
          <w:i/>
        </w:rPr>
        <w:t>Ablation study on sparsity level $k$ (GSA metrics)</w:t>
      </w:r>
      <w:r>
        <w:t xml:space="preserve"> </w:t>
      </w:r>
      <w:r>
        <w:rPr>
          <w:b/>
          <w:color w:val="0284C7"/>
          <w:sz w:val="19"/>
        </w:rPr>
        <w:t xml:space="preserve"> [18]</w:t>
      </w:r>
      <w:r>
        <w:t>:</w:t>
      </w:r>
    </w:p>
    <w:p>
      <w:pPr>
        <w:pStyle w:val="ListBullet"/>
        <w:spacing w:before="20" w:after="60" w:line="276" w:lineRule="auto"/>
      </w:pPr>
      <w:r>
        <w:rPr>
          <w:rFonts w:ascii="Cambria Math" w:hAnsi="Cambria Math"/>
          <w:i/>
          <w:color w:val="0F2942"/>
        </w:rPr>
        <w:t xml:space="preserve"> k = 512 </w:t>
      </w:r>
      <w:r>
        <w:t xml:space="preserve">: PPL </w:t>
      </w:r>
      <w:r>
        <w:rPr>
          <w:rFonts w:ascii="Cambria Math" w:hAnsi="Cambria Math"/>
          <w:i/>
          <w:color w:val="0F2942"/>
        </w:rPr>
        <w:t xml:space="preserve"> 5.89 </w:t>
      </w:r>
      <w:r>
        <w:t xml:space="preserve">, RULER-128K </w:t>
      </w:r>
      <w:r>
        <w:rPr>
          <w:rFonts w:ascii="Cambria Math" w:hAnsi="Cambria Math"/>
          <w:i/>
          <w:color w:val="0F2942"/>
        </w:rPr>
        <w:t xml:space="preserve"> 54.32 </w:t>
      </w:r>
      <w:r>
        <w:t xml:space="preserve">, Speedup </w:t>
      </w:r>
      <w:r>
        <w:rPr>
          <w:rFonts w:ascii="Cambria Math" w:hAnsi="Cambria Math"/>
          <w:i/>
          <w:color w:val="0F2942"/>
        </w:rPr>
        <w:t xml:space="preserve"> 22 ×  </w:t>
      </w:r>
      <w:r>
        <w:t xml:space="preserve"> </w:t>
      </w:r>
      <w:r>
        <w:rPr>
          <w:b/>
          <w:color w:val="0284C7"/>
          <w:sz w:val="19"/>
        </w:rPr>
        <w:t xml:space="preserve"> [18]</w:t>
      </w:r>
    </w:p>
    <w:p>
      <w:pPr>
        <w:pStyle w:val="ListBullet"/>
        <w:spacing w:before="20" w:after="60" w:line="276" w:lineRule="auto"/>
      </w:pPr>
      <w:r>
        <w:rPr>
          <w:rFonts w:ascii="Cambria Math" w:hAnsi="Cambria Math"/>
          <w:i/>
          <w:color w:val="0F2942"/>
        </w:rPr>
        <w:t xml:space="preserve"> k = 1024 </w:t>
      </w:r>
      <w:r>
        <w:t xml:space="preserve">: PPL </w:t>
      </w:r>
      <w:r>
        <w:rPr>
          <w:rFonts w:ascii="Cambria Math" w:hAnsi="Cambria Math"/>
          <w:i/>
          <w:color w:val="0F2942"/>
        </w:rPr>
        <w:t xml:space="preserve"> 5.78 </w:t>
      </w:r>
      <w:r>
        <w:t xml:space="preserve">, RULER-128K </w:t>
      </w:r>
      <w:r>
        <w:rPr>
          <w:rFonts w:ascii="Cambria Math" w:hAnsi="Cambria Math"/>
          <w:i/>
          <w:color w:val="0F2942"/>
        </w:rPr>
        <w:t xml:space="preserve"> 58.91 </w:t>
      </w:r>
      <w:r>
        <w:t xml:space="preserve">, Speedup </w:t>
      </w:r>
      <w:r>
        <w:rPr>
          <w:rFonts w:ascii="Cambria Math" w:hAnsi="Cambria Math"/>
          <w:i/>
          <w:color w:val="0F2942"/>
        </w:rPr>
        <w:t xml:space="preserve"> 16 ×  </w:t>
      </w:r>
      <w:r>
        <w:t xml:space="preserve"> </w:t>
      </w:r>
      <w:r>
        <w:rPr>
          <w:b/>
          <w:color w:val="0284C7"/>
          <w:sz w:val="19"/>
        </w:rPr>
        <w:t xml:space="preserve"> [18]</w:t>
      </w:r>
    </w:p>
    <w:p>
      <w:pPr>
        <w:pStyle w:val="ListBullet"/>
        <w:spacing w:before="20" w:after="60" w:line="276" w:lineRule="auto"/>
      </w:pPr>
      <w:r>
        <w:rPr>
          <w:rFonts w:ascii="Cambria Math" w:hAnsi="Cambria Math"/>
          <w:i/>
          <w:color w:val="0F2942"/>
        </w:rPr>
        <w:t xml:space="preserve"> k = 2048 </w:t>
      </w:r>
      <w:r>
        <w:t xml:space="preserve">: PPL </w:t>
      </w:r>
      <w:r>
        <w:rPr>
          <w:rFonts w:ascii="Cambria Math" w:hAnsi="Cambria Math"/>
          <w:i/>
          <w:color w:val="0F2942"/>
        </w:rPr>
        <w:t xml:space="preserve"> 5.70 </w:t>
      </w:r>
      <w:r>
        <w:t xml:space="preserve">, RULER-128K </w:t>
      </w:r>
      <w:r>
        <w:rPr>
          <w:rFonts w:ascii="Cambria Math" w:hAnsi="Cambria Math"/>
          <w:i/>
          <w:color w:val="0F2942"/>
        </w:rPr>
        <w:t xml:space="preserve"> 62.18 </w:t>
      </w:r>
      <w:r>
        <w:t xml:space="preserve">, Speedup </w:t>
      </w:r>
      <w:r>
        <w:rPr>
          <w:rFonts w:ascii="Cambria Math" w:hAnsi="Cambria Math"/>
          <w:i/>
          <w:color w:val="0F2942"/>
        </w:rPr>
        <w:t xml:space="preserve"> 12 ×  </w:t>
      </w:r>
      <w:r>
        <w:t xml:space="preserve"> </w:t>
      </w:r>
      <w:r>
        <w:rPr>
          <w:b/>
          <w:color w:val="0284C7"/>
          <w:sz w:val="19"/>
        </w:rPr>
        <w:t xml:space="preserve"> [18]</w:t>
      </w:r>
    </w:p>
    <w:p>
      <w:pPr>
        <w:pStyle w:val="ListBullet"/>
        <w:spacing w:before="20" w:after="60" w:line="276" w:lineRule="auto"/>
      </w:pPr>
      <w:r>
        <w:rPr>
          <w:rFonts w:ascii="Cambria Math" w:hAnsi="Cambria Math"/>
          <w:i/>
          <w:color w:val="0F2942"/>
        </w:rPr>
        <w:t xml:space="preserve"> k = 4096 </w:t>
      </w:r>
      <w:r>
        <w:t xml:space="preserve">: PPL </w:t>
      </w:r>
      <w:r>
        <w:rPr>
          <w:rFonts w:ascii="Cambria Math" w:hAnsi="Cambria Math"/>
          <w:i/>
          <w:color w:val="0F2942"/>
        </w:rPr>
        <w:t xml:space="preserve"> 5.69 </w:t>
      </w:r>
      <w:r>
        <w:t xml:space="preserve">, RULER-128K </w:t>
      </w:r>
      <w:r>
        <w:rPr>
          <w:rFonts w:ascii="Cambria Math" w:hAnsi="Cambria Math"/>
          <w:i/>
          <w:color w:val="0F2942"/>
        </w:rPr>
        <w:t xml:space="preserve"> 63.45 </w:t>
      </w:r>
      <w:r>
        <w:t xml:space="preserve">, Speedup </w:t>
      </w:r>
      <w:r>
        <w:rPr>
          <w:rFonts w:ascii="Cambria Math" w:hAnsi="Cambria Math"/>
          <w:i/>
          <w:color w:val="0F2942"/>
        </w:rPr>
        <w:t xml:space="preserve"> 8 ×  </w:t>
      </w:r>
      <w:r>
        <w:t xml:space="preserve"> </w:t>
      </w:r>
      <w:r>
        <w:rPr>
          <w:b/>
          <w:color w:val="0284C7"/>
          <w:sz w:val="19"/>
        </w:rPr>
        <w:t xml:space="preserve"> [18]</w:t>
      </w:r>
    </w:p>
    <w:p>
      <w:pPr>
        <w:spacing w:before="40" w:after="120" w:line="276" w:lineRule="auto"/>
      </w:pPr>
      <w:r>
        <w:t xml:space="preserve">GSA leads across downstream benchmarks, achieving the largest gains on MMLU (+2.6 points over standard) and GSM8K (+3.1 points) </w:t>
      </w:r>
      <w:r>
        <w:rPr>
          <w:b/>
          <w:color w:val="0284C7"/>
          <w:sz w:val="19"/>
        </w:rPr>
        <w:t xml:space="preserve"> [17]</w:t>
      </w:r>
      <w:r>
        <w:t xml:space="preserve">. Throughput improves by an order of magnitude at 128K context </w:t>
      </w:r>
      <w:r>
        <w:rPr>
          <w:b/>
          <w:color w:val="0284C7"/>
          <w:sz w:val="19"/>
        </w:rPr>
        <w:t xml:space="preserve"> [18]</w:t>
      </w:r>
      <w:r>
        <w:t>.</w:t>
      </w:r>
    </w:p>
    <w:p>
      <w:pPr>
        <w:pStyle w:val="ListNumber"/>
        <w:spacing w:before="20" w:after="60" w:line="276" w:lineRule="auto"/>
      </w:pPr>
      <w:r>
        <w:rPr>
          <w:b/>
        </w:rPr>
        <w:t>Limitations &amp; Open Questions</w:t>
      </w:r>
      <w:r>
        <w:t xml:space="preserve">: Author-stated limitations include: (1) for short sequences below roughly 4K tokens, the indexer's overhead can exceed sparse attention savings, requiring a switch to dense attention; (2) while indexer constants are small, its </w:t>
      </w:r>
      <w:r>
        <w:rPr>
          <w:rFonts w:ascii="Cambria Math" w:hAnsi="Cambria Math"/>
          <w:i/>
          <w:color w:val="0F2942"/>
        </w:rPr>
        <w:t xml:space="preserve"> O(L^2) </w:t>
      </w:r>
      <w:r>
        <w:t xml:space="preserve"> scaling will eventually dominate at extreme lengths beyond 1M tokens; (3) the two-phase training schedule adds minor implementation complexity; and (4) GSA introduces new hyperparameters (</w:t>
      </w:r>
      <w:r>
        <w:rPr>
          <w:rFonts w:ascii="Cambria Math" w:hAnsi="Cambria Math"/>
          <w:i/>
          <w:color w:val="0F2942"/>
        </w:rPr>
        <w:t xml:space="preserve"> k_base </w:t>
      </w:r>
      <w:r>
        <w:t xml:space="preserve">, </w:t>
      </w:r>
      <w:r>
        <w:rPr>
          <w:rFonts w:ascii="Cambria Math" w:hAnsi="Cambria Math"/>
          <w:i/>
          <w:color w:val="0F2942"/>
        </w:rPr>
        <w:t xml:space="preserve"> d_I </w:t>
      </w:r>
      <w:r>
        <w:t xml:space="preserve">, gate initialization) requiring tuning for new domains or model scales </w:t>
      </w:r>
      <w:r>
        <w:rPr>
          <w:b/>
          <w:color w:val="0284C7"/>
          <w:sz w:val="19"/>
        </w:rPr>
        <w:t xml:space="preserve"> [18]</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[5]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[8]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[9]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8">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8">
        <w:r>
          <w:rPr>
            <w:color w:val="0284C7"/>
            <w:u w:val="single"/>
          </w:rPr>
          <w:t>Open source PDF</w:t>
        </w:r>
      </w:hyperlink>
    </w:p>
    <w:p>
      <w:pPr>
        <w:spacing w:before="40" w:after="80"/>
        <w:ind w:left="432"/>
      </w:pPr>
      <w:r>
        <w:rPr>
          <w:b/>
          <w:color w:val="0284C7"/>
        </w:rPr>
        <w:t xml:space="preserve">[11]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19">
        <w:r>
          <w:rPr>
            <w:color w:val="0284C7"/>
            <w:u w:val="single"/>
          </w:rPr>
          <w:t>Open source PDF</w:t>
        </w:r>
      </w:hyperlink>
    </w:p>
    <w:p>
      <w:pPr>
        <w:spacing w:before="40" w:after="80"/>
        <w:ind w:left="432"/>
      </w:pPr>
      <w:r>
        <w:rPr>
          <w:b/>
          <w:color w:val="0284C7"/>
        </w:rPr>
        <w:t xml:space="preserve">[12]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0">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[15]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0">
        <w:r>
          <w:rPr>
            <w:color w:val="0284C7"/>
            <w:u w:val="single"/>
          </w:rPr>
          <w:t>Open source PDF</w:t>
        </w:r>
      </w:hyperlink>
    </w:p>
    <w:p>
      <w:pPr>
        <w:spacing w:before="40" w:after="80"/>
        <w:ind w:left="432"/>
      </w:pPr>
      <w:r>
        <w:rPr>
          <w:b/>
          <w:color w:val="0284C7"/>
        </w:rPr>
        <w:t xml:space="preserve">[16]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2">
        <w:r>
          <w:rPr>
            <w:color w:val="0284C7"/>
            <w:u w:val="single"/>
          </w:rPr>
          <w:t>Open source PDF</w:t>
        </w:r>
      </w:hyperlink>
    </w:p>
    <w:p>
      <w:pPr>
        <w:spacing w:before="40" w:after="80"/>
        <w:ind w:left="432"/>
      </w:pPr>
      <w:r>
        <w:rPr>
          <w:b/>
          <w:color w:val="0284C7"/>
        </w:rPr>
        <w:t xml:space="preserve">[17]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3">
        <w:r>
          <w:rPr>
            <w:color w:val="0284C7"/>
            <w:u w:val="single"/>
          </w:rPr>
          <w:t>Open source PDF</w:t>
        </w:r>
      </w:hyperlink>
    </w:p>
    <w:p>
      <w:pPr>
        <w:spacing w:before="40" w:after="80"/>
        <w:ind w:left="432"/>
      </w:pPr>
      <w:r>
        <w:rPr>
          <w:b/>
          <w:color w:val="0284C7"/>
        </w:rPr>
        <w:t xml:space="preserve">[18]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4">
        <w:r>
          <w:rPr>
            <w:color w:val="0284C7"/>
            <w:u w:val="single"/>
          </w:rPr>
          <w:t>Open source PDF</w:t>
        </w:r>
      </w:hyperlink>
    </w:p>
    <w:p>
      <w:pPr>
        <w:spacing w:before="40" w:after="80"/>
        <w:ind w:left="432"/>
      </w:pPr>
      <w:r>
        <w:rPr>
          <w:b/>
          <w:color w:val="0284C7"/>
        </w:rPr>
        <w:t xml:space="preserve">[19]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5">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407.00648v1.pdf#page=7" TargetMode="External"/><Relationship Id="rId19" Type="http://schemas.openxmlformats.org/officeDocument/2006/relationships/hyperlink" Target="https://arxiv.org/pdf/2407.00648v1.pdf#page=10" TargetMode="External"/><Relationship Id="rId20" Type="http://schemas.openxmlformats.org/officeDocument/2006/relationships/hyperlink" Target="https://arxiv.org/pdf/2401.08828.pdf#page=1" TargetMode="External"/><Relationship Id="rId21" Type="http://schemas.openxmlformats.org/officeDocument/2006/relationships/hyperlink" Target="https://arxiv.org/pdf/2401.08828.pdf#page=31" TargetMode="External"/><Relationship Id="rId22" Type="http://schemas.openxmlformats.org/officeDocument/2006/relationships/hyperlink" Target="https://arxiv.org/pdf/2401.08828.pdf#page=4" TargetMode="External"/><Relationship Id="rId23" Type="http://schemas.openxmlformats.org/officeDocument/2006/relationships/hyperlink" Target="https://arxiv.org/pdf/2601.15305v1.pdf#page=9" TargetMode="External"/><Relationship Id="rId24" Type="http://schemas.openxmlformats.org/officeDocument/2006/relationships/hyperlink" Target="https://arxiv.org/pdf/2601.15305v1.pdf#page=11" TargetMode="External"/><Relationship Id="rId25"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