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need for a focused comparative review of specific transformer architectures in Automatic Text Summarization (ATS) </w:t>
      </w:r>
      <w:r>
        <w:rPr>
          <w:b/>
          <w:color w:val="0284C7"/>
          <w:sz w:val="19"/>
        </w:rPr>
        <w:t xml:space="preserve"> [1]</w:t>
      </w:r>
      <w:r>
        <w:t xml:space="preserve">. While prior surveys provide broad overviews, there is limited analysis on how distinct model designs—such as encoder-only versus encoder–decoder structures—and pretraining objectives impact performance in extractive and abstractive summarization </w:t>
      </w:r>
      <w:r>
        <w:rPr>
          <w:b/>
          <w:color w:val="0284C7"/>
          <w:sz w:val="19"/>
        </w:rPr>
        <w:t xml:space="preserve"> [1]</w:t>
      </w:r>
      <w:r>
        <w:t xml:space="preserve">. The objective is to provide practical insights into the performance, behavior, and trade-offs of BERT, RoBERTa, and BART under a consistent evaluation framework </w:t>
      </w:r>
      <w:r>
        <w:rPr>
          <w:b/>
          <w:color w:val="0284C7"/>
          <w:sz w:val="19"/>
        </w:rPr>
        <w:t xml:space="preserve"> [2]</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three transformer models: BERT (utilizing bidirectional contextual representations for text understanding and extractive tasks), RoBERTa (enhancing BERT through optimized pretraining strategies and larger datasets), and BART (employing an encoder–decoder framework tailored for generative and abstractive tasks) </w:t>
      </w:r>
      <w:r>
        <w:rPr>
          <w:b/>
          <w:color w:val="0284C7"/>
          <w:sz w:val="19"/>
        </w:rPr>
        <w:t xml:space="preserve"> [1]</w:t>
      </w:r>
      <w:r>
        <w:t>.</w:t>
      </w:r>
    </w:p>
    <w:p>
      <w:pPr>
        <w:spacing w:before="200" w:after="80"/>
      </w:pPr>
      <w:r>
        <w:rPr>
          <w:rFonts w:ascii="Arial" w:hAnsi="Arial"/>
          <w:b/>
          <w:color w:val="1E293B"/>
          <w:sz w:val="22"/>
        </w:rPr>
        <w:t>3. Experimental Setup &amp; Datasets</w:t>
      </w:r>
    </w:p>
    <w:p>
      <w:pPr>
        <w:spacing w:before="40" w:after="120" w:line="276" w:lineRule="auto"/>
      </w:pPr>
      <w:r>
        <w:t xml:space="preserve">The experimental framework utilizes the CNN/Daily Mail dataset (obtained from Kaggle in 2025), which consists of news articles paired with human-written reference summaries </w:t>
      </w:r>
      <w:r>
        <w:rPr>
          <w:b/>
          <w:color w:val="0284C7"/>
          <w:sz w:val="19"/>
        </w:rPr>
        <w:t xml:space="preserve"> [2]</w:t>
      </w:r>
      <w:r>
        <w:t xml:space="preserve">. Model-generated summaries are quantitatively evaluated using ROUGE and BLEU metrics </w:t>
      </w:r>
      <w:r>
        <w:rPr>
          <w:b/>
          <w:color w:val="0284C7"/>
          <w:sz w:val="19"/>
        </w:rPr>
        <w:t xml:space="preserve"> [2]</w:t>
      </w:r>
      <w:r>
        <w:t>.</w:t>
      </w:r>
    </w:p>
    <w:p>
      <w:pPr>
        <w:spacing w:before="200" w:after="80"/>
      </w:pPr>
      <w:r>
        <w:rPr>
          <w:rFonts w:ascii="Arial" w:hAnsi="Arial"/>
          <w:b/>
          <w:color w:val="1E293B"/>
          <w:sz w:val="22"/>
        </w:rPr>
        <w:t>4. Key Findings &amp; Reported Metrics</w:t>
      </w:r>
    </w:p>
    <w:p>
      <w:pPr>
        <w:spacing w:before="40" w:after="120" w:line="276" w:lineRule="auto"/>
      </w:pPr>
      <w:r>
        <w:t xml:space="preserve">BART outperformed BERT across all ROUGE and BLEU metrics </w:t>
      </w:r>
      <w:r>
        <w:rPr>
          <w:b/>
          <w:color w:val="0284C7"/>
          <w:sz w:val="19"/>
        </w:rPr>
        <w:t xml:space="preserve"> [3]</w:t>
      </w:r>
      <w:r>
        <w:t xml:space="preserve">. In comparisons between RoBERTa and BART, BART achieved a ROUGE-1 score of approximately 0.4117, whereas RoBERTa achieved a ROUGE-1 score of 0.1820 </w:t>
      </w:r>
      <w:r>
        <w:rPr>
          <w:b/>
          <w:color w:val="0284C7"/>
          <w:sz w:val="19"/>
        </w:rPr>
        <w:t xml:space="preserve"> [3]</w:t>
      </w:r>
      <w:r>
        <w:t xml:space="preserve">. Overall, extractive models like BERT and RoBERTa are more fact-preserving and stable, while abstractive models like BART achieve higher semantic quality and fluency </w:t>
      </w:r>
      <w:r>
        <w:rPr>
          <w:b/>
          <w:color w:val="0284C7"/>
          <w:sz w:val="19"/>
        </w:rPr>
        <w:t xml:space="preserve"> [4]</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note that performance differences are influenced by varying training configurations, specifically fine-tuned encoder-only models versus pretrained generative models </w:t>
      </w:r>
      <w:r>
        <w:rPr>
          <w:b/>
          <w:color w:val="0284C7"/>
          <w:sz w:val="19"/>
        </w:rPr>
        <w:t xml:space="preserve"> [4]</w:t>
      </w:r>
      <w:r>
        <w:t xml:space="preserve">. Future work includes fine-tuning BART on domain-specific corpora (medical, legal, educational) and comparing performance against larger contemporary architectures like T5, LLaMA, and GPT-based models </w:t>
      </w:r>
      <w:r>
        <w:rPr>
          <w:b/>
          <w:color w:val="0284C7"/>
          <w:sz w:val="19"/>
        </w:rPr>
        <w:t xml:space="preserve"> [4]</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Uncertainty Quantification (UQ) problems by introducing the Deep Arbitrary Polynomial Chaos Neural Network (DaPC NN), aiming to overcome the limitations of conventional Deep Artificial Neural Networks (DANN) and standard arbitrary Polynomial Chaos (aPC) expansions in stochastic modeling </w:t>
      </w:r>
      <w:r>
        <w:rPr>
          <w:b/>
          <w:color w:val="0284C7"/>
          <w:sz w:val="19"/>
        </w:rPr>
        <w:t xml:space="preserve"> [7]</w:t>
      </w:r>
      <w:r>
        <w:t>.</w:t>
      </w:r>
    </w:p>
    <w:p>
      <w:pPr>
        <w:spacing w:before="200" w:after="80"/>
      </w:pPr>
      <w:r>
        <w:rPr>
          <w:rFonts w:ascii="Arial" w:hAnsi="Arial"/>
          <w:b/>
          <w:color w:val="1E293B"/>
          <w:sz w:val="22"/>
        </w:rPr>
        <w:t>2. Methodology &amp; Architecture</w:t>
      </w:r>
    </w:p>
    <w:p>
      <w:pPr>
        <w:spacing w:before="40" w:after="120" w:line="276" w:lineRule="auto"/>
      </w:pPr>
      <w:r>
        <w:t xml:space="preserve">The proposed DaPC NN combines deep neural network architectures with arbitrary polynomial chaos expansions </w:t>
      </w:r>
      <w:r>
        <w:rPr>
          <w:b/>
          <w:color w:val="0284C7"/>
          <w:sz w:val="19"/>
        </w:rPr>
        <w:t xml:space="preserve"> [7]</w:t>
      </w:r>
      <w:r>
        <w:t xml:space="preserve">. Unlike standard DANNs, the DaPC NN architecture introduces additional degrees of freedom by selecting non-linearity degrees on specific layers, which introduces unknown weights associated with input neurons from preceding layers </w:t>
      </w:r>
      <w:r>
        <w:rPr>
          <w:b/>
          <w:color w:val="0284C7"/>
          <w:sz w:val="19"/>
        </w:rPr>
        <w:t xml:space="preserve"> [5]</w:t>
      </w:r>
      <w:r>
        <w:t>. Architectures are configured using layers (</w:t>
      </w:r>
      <w:r>
        <w:rPr>
          <w:rFonts w:ascii="Cambria Math" w:hAnsi="Cambria Math"/>
          <w:i/>
          <w:color w:val="0F2942"/>
        </w:rPr>
        <w:t xml:space="preserve"> L </w:t>
      </w:r>
      <w:r>
        <w:t>), nodes per layer (</w:t>
      </w:r>
      <w:r>
        <w:rPr>
          <w:rFonts w:ascii="Cambria Math" w:hAnsi="Cambria Math"/>
          <w:i/>
          <w:color w:val="0F2942"/>
        </w:rPr>
        <w:t xml:space="preserve"> N(L) </w:t>
      </w:r>
      <w:r>
        <w:t>), degrees of non-linearity (</w:t>
      </w:r>
      <w:r>
        <w:rPr>
          <w:rFonts w:ascii="Cambria Math" w:hAnsi="Cambria Math"/>
          <w:i/>
          <w:color w:val="0F2942"/>
        </w:rPr>
        <w:t xml:space="preserve"> d(L) </w:t>
      </w:r>
      <w:r>
        <w:t>), activation functions (</w:t>
      </w:r>
      <w:r>
        <w:rPr>
          <w:rFonts w:ascii="Cambria Math" w:hAnsi="Cambria Math"/>
          <w:i/>
          <w:color w:val="0F2942"/>
        </w:rPr>
        <w:t xml:space="preserve"> A(L) </w:t>
      </w:r>
      <w:r>
        <w:t xml:space="preserve">), and loss functions combining Mean Square Error and Mean Square Weights (MSE+MSW) </w:t>
      </w:r>
      <w:r>
        <w:rPr>
          <w:b/>
          <w:color w:val="0284C7"/>
          <w:sz w:val="19"/>
        </w:rPr>
        <w:t xml:space="preserve"> [7]</w:t>
      </w:r>
      <w:r>
        <w:t>.</w:t>
      </w:r>
    </w:p>
    <w:p>
      <w:pPr>
        <w:spacing w:before="200" w:after="80"/>
      </w:pPr>
      <w:r>
        <w:rPr>
          <w:rFonts w:ascii="Arial" w:hAnsi="Arial"/>
          <w:b/>
          <w:color w:val="1E293B"/>
          <w:sz w:val="22"/>
        </w:rPr>
        <w:t>3. Experimental Setup &amp; Datasets</w:t>
      </w:r>
    </w:p>
    <w:p>
      <w:pPr>
        <w:spacing w:before="40" w:after="120" w:line="276" w:lineRule="auto"/>
      </w:pPr>
      <w:r>
        <w:t>The study utilizes training datasets (</w:t>
      </w:r>
      <w:r>
        <w:rPr>
          <w:rFonts w:ascii="Cambria Math" w:hAnsi="Cambria Math"/>
          <w:i/>
          <w:color w:val="0F2942"/>
        </w:rPr>
        <w:t xml:space="preserve"> D_TN </w:t>
      </w:r>
      <w:r>
        <w:t xml:space="preserve">) of sizes </w:t>
      </w:r>
      <w:r>
        <w:rPr>
          <w:rFonts w:ascii="Cambria Math" w:hAnsi="Cambria Math"/>
          <w:i/>
          <w:color w:val="0F2942"/>
        </w:rPr>
        <w:t xml:space="preserve"> T_N = 10, 100, </w:t>
      </w:r>
      <w:r>
        <w:t xml:space="preserve"> and </w:t>
      </w:r>
      <w:r>
        <w:rPr>
          <w:rFonts w:ascii="Cambria Math" w:hAnsi="Cambria Math"/>
          <w:i/>
          <w:color w:val="0F2942"/>
        </w:rPr>
        <w:t xml:space="preserve"> 1000 </w:t>
      </w:r>
      <w:r>
        <w:t>, alongside validation datasets (</w:t>
      </w:r>
      <w:r>
        <w:rPr>
          <w:rFonts w:ascii="Cambria Math" w:hAnsi="Cambria Math"/>
          <w:i/>
          <w:color w:val="0F2942"/>
        </w:rPr>
        <w:t xml:space="preserve"> D_VN </w:t>
      </w:r>
      <w:r>
        <w:t xml:space="preserve">) of size </w:t>
      </w:r>
      <w:r>
        <w:rPr>
          <w:rFonts w:ascii="Cambria Math" w:hAnsi="Cambria Math"/>
          <w:i/>
          <w:color w:val="0F2942"/>
        </w:rPr>
        <w:t xml:space="preserve"> V_N = 10^3 </w:t>
      </w:r>
      <w:r>
        <w:t xml:space="preserve"> generated via Monte Carlo sampling </w:t>
      </w:r>
      <w:r>
        <w:rPr>
          <w:b/>
          <w:color w:val="0284C7"/>
          <w:sz w:val="19"/>
        </w:rPr>
        <w:t xml:space="preserve"> [6]</w:t>
      </w:r>
      <w:r>
        <w:t xml:space="preserve">. Test cases include the Ishigami function with three inputs </w:t>
      </w:r>
      <w:r>
        <w:rPr>
          <w:b/>
          <w:color w:val="0284C7"/>
          <w:sz w:val="19"/>
        </w:rPr>
        <w:t xml:space="preserve"> [6, 8]</w:t>
      </w:r>
      <w:r>
        <w:t xml:space="preserve">, a problem with ten inputs </w:t>
      </w:r>
      <w:r>
        <w:rPr>
          <w:b/>
          <w:color w:val="0284C7"/>
          <w:sz w:val="19"/>
        </w:rPr>
        <w:t xml:space="preserve"> [5]</w:t>
      </w:r>
      <w:r>
        <w:t xml:space="preserve">, and a carbon dioxide benchmark problem with non-linear shock propagation </w:t>
      </w:r>
      <w:r>
        <w:rPr>
          <w:b/>
          <w:color w:val="0284C7"/>
          <w:sz w:val="19"/>
        </w:rPr>
        <w:t xml:space="preserve"> [5]</w:t>
      </w:r>
      <w:r>
        <w:t>.</w:t>
      </w:r>
    </w:p>
    <w:p>
      <w:pPr>
        <w:spacing w:before="200" w:after="80"/>
      </w:pPr>
      <w:r>
        <w:rPr>
          <w:rFonts w:ascii="Arial" w:hAnsi="Arial"/>
          <w:b/>
          <w:color w:val="1E293B"/>
          <w:sz w:val="22"/>
        </w:rPr>
        <w:t>4. Key Findings &amp; Reported Metrics</w:t>
      </w:r>
    </w:p>
    <w:p>
      <w:pPr>
        <w:spacing w:before="40" w:after="120" w:line="276" w:lineRule="auto"/>
      </w:pPr>
      <w:r>
        <w:t xml:space="preserve">In convergence evaluations (measured via Mean Square Error, relative error of the mean value, and relative error of standard deviation), the DaPC NN achieved faster convergence across all investigated metrics compared to conventional DANNs and standard aPC expansions </w:t>
      </w:r>
      <w:r>
        <w:rPr>
          <w:b/>
          <w:color w:val="0284C7"/>
          <w:sz w:val="19"/>
        </w:rPr>
        <w:t xml:space="preserve"> [7]</w:t>
      </w:r>
      <w:r>
        <w:t xml:space="preserve">. Furthermore, conventional DANNs exhibited a stronger and higher density of spreading in point clouds compared to DaPC NN and aPC models </w:t>
      </w:r>
      <w:r>
        <w:rPr>
          <w:b/>
          <w:color w:val="0284C7"/>
          <w:sz w:val="19"/>
        </w:rPr>
        <w:t xml:space="preserve"> [7]</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emphasize that selecting optimal hyperparameters—such as the number of layers, nodes per layer, non-linearity degrees, and activation functions—poses strong modeling challenges that require a deep understanding of each underlying machine learning approach </w:t>
      </w:r>
      <w:r>
        <w:rPr>
          <w:b/>
          <w:color w:val="0284C7"/>
          <w:sz w:val="19"/>
        </w:rPr>
        <w:t xml:space="preserve"> [5]</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scarcity of optimized natural language processing tools for Turkish legal texts by proposing LegalTurk, an optimized BERT-based model designed specifically for multi-label text classification and Named Entity Recognition (NER) within the legal domain </w:t>
      </w:r>
      <w:r>
        <w:rPr>
          <w:b/>
          <w:color w:val="0284C7"/>
          <w:sz w:val="19"/>
        </w:rPr>
        <w:t xml:space="preserve"> [9, 11]</w:t>
      </w:r>
      <w:r>
        <w:t>.</w:t>
      </w:r>
    </w:p>
    <w:p>
      <w:pPr>
        <w:spacing w:before="200" w:after="80"/>
      </w:pPr>
      <w:r>
        <w:rPr>
          <w:rFonts w:ascii="Arial" w:hAnsi="Arial"/>
          <w:b/>
          <w:color w:val="1E293B"/>
          <w:sz w:val="22"/>
        </w:rPr>
        <w:t>2. Methodology &amp; Architecture</w:t>
      </w:r>
    </w:p>
    <w:p>
      <w:pPr>
        <w:spacing w:before="40" w:after="120" w:line="276" w:lineRule="auto"/>
      </w:pPr>
      <w:r>
        <w:t xml:space="preserve">The study tests various pre-training and fine-tuning strategies built on BERT architectures, including replacing the Next Sentence Prediction (NSP) subtask with Sentence Order Prediction (SOP), modifying Masked Language Modeling (MLM) ratios, and integrating TF-IDF weighting at the token level </w:t>
      </w:r>
      <w:r>
        <w:rPr>
          <w:b/>
          <w:color w:val="0284C7"/>
          <w:sz w:val="19"/>
        </w:rPr>
        <w:t xml:space="preserve"> [10]</w:t>
      </w:r>
      <w:r>
        <w:t xml:space="preserve">. Models are evaluated using a hold-out method partitioning datasets into 80% training, 10% validation, and 10% testing splits </w:t>
      </w:r>
      <w:r>
        <w:rPr>
          <w:b/>
          <w:color w:val="0284C7"/>
          <w:sz w:val="19"/>
        </w:rPr>
        <w:t xml:space="preserve"> [9]</w:t>
      </w:r>
      <w:r>
        <w:t>.</w:t>
      </w:r>
    </w:p>
    <w:p>
      <w:pPr>
        <w:spacing w:before="200" w:after="80"/>
      </w:pPr>
      <w:r>
        <w:rPr>
          <w:rFonts w:ascii="Arial" w:hAnsi="Arial"/>
          <w:b/>
          <w:color w:val="1E293B"/>
          <w:sz w:val="22"/>
        </w:rPr>
        <w:t>3. Experimental Setup &amp; Datasets</w:t>
      </w:r>
    </w:p>
    <w:p>
      <w:pPr>
        <w:spacing w:before="40" w:after="120" w:line="276" w:lineRule="auto"/>
      </w:pPr>
      <w:r>
        <w:t xml:space="preserve">Initial pre-training is conducted on a 50MB corpus extracted from publicly available legal domain theses, with subsequent evaluations extending to larger corpora sized at 100MB, 500MB, 1GB, and 2GB </w:t>
      </w:r>
      <w:r>
        <w:rPr>
          <w:b/>
          <w:color w:val="0284C7"/>
          <w:sz w:val="19"/>
        </w:rPr>
        <w:t xml:space="preserve"> [9, 11]</w:t>
      </w:r>
      <w:r>
        <w:t xml:space="preserve">. Fine-tuning is assessed on annotated datasets comprising 614,541 sentences for NER and 175,279 sentences for multi-label text classification </w:t>
      </w:r>
      <w:r>
        <w:rPr>
          <w:b/>
          <w:color w:val="0284C7"/>
          <w:sz w:val="19"/>
        </w:rPr>
        <w:t xml:space="preserve"> [9]</w:t>
      </w:r>
      <w:r>
        <w:t xml:space="preserve">. Performance is evaluated using Precision, Recall, and F-measure </w:t>
      </w:r>
      <w:r>
        <w:rPr>
          <w:b/>
          <w:color w:val="0284C7"/>
          <w:sz w:val="19"/>
        </w:rPr>
        <w:t xml:space="preserve"> [9]</w:t>
      </w:r>
      <w:r>
        <w:t>.</w:t>
      </w:r>
    </w:p>
    <w:p>
      <w:pPr>
        <w:spacing w:before="200" w:after="80"/>
      </w:pPr>
      <w:r>
        <w:rPr>
          <w:rFonts w:ascii="Arial" w:hAnsi="Arial"/>
          <w:b/>
          <w:color w:val="1E293B"/>
          <w:sz w:val="22"/>
        </w:rPr>
        <w:t>4. Key Findings &amp; Reported Metrics</w:t>
      </w:r>
    </w:p>
    <w:p>
      <w:pPr>
        <w:spacing w:before="40" w:after="120" w:line="276" w:lineRule="auto"/>
      </w:pPr>
      <w:r>
        <w:t xml:space="preserve">Fine-tuning results for models pre-trained from scratch on the 50MB corpus are summarized below </w:t>
      </w:r>
      <w:r>
        <w:rPr>
          <w:b/>
          <w:color w:val="0284C7"/>
          <w:sz w:val="19"/>
        </w:rPr>
        <w:t xml:space="preserve"> [10]</w:t>
      </w:r>
      <w:r>
        <w: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color w:val="1E293B"/>
                <w:sz w:val="19"/>
              </w:rPr>
              <w:t xml:space="preserve">Original BERT: NSP_MLM_80_10_10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84.36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48.79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61.82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50.77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73.53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60.07 </w:t>
            </w:r>
            <w:r>
              <w:rPr>
                <w:b/>
                <w:color w:val="1E293B"/>
                <w:sz w:val="19"/>
              </w:rPr>
              <w:t xml:space="preserve"> [10]</w:t>
            </w:r>
          </w:p>
        </w:tc>
      </w:tr>
      <w:tr>
        <w:tc>
          <w:tcPr>
            <w:tcW w:type="dxa" w:w="1337"/>
            <w:shd w:fill="FFFFFF"/>
            <w:tcMar>
              <w:top w:w="100" w:type="dxa"/>
              <w:bottom w:w="100" w:type="dxa"/>
              <w:left w:w="140" w:type="dxa"/>
              <w:right w:w="140" w:type="dxa"/>
            </w:tcMar>
          </w:tcPr>
          <w:p>
            <w:pPr>
              <w:jc w:val="left"/>
            </w:pPr>
            <w:r>
              <w:rPr>
                <w:color w:val="1E293B"/>
                <w:sz w:val="19"/>
              </w:rPr>
              <w:t xml:space="preserve">SOP_MLM_80_10_10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84.93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54.71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66.55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51.22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73.93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60.51 </w:t>
            </w:r>
            <w:r>
              <w:rPr>
                <w:b/>
                <w:color w:val="1E293B"/>
                <w:sz w:val="19"/>
              </w:rPr>
              <w:t xml:space="preserve"> [10]</w:t>
            </w:r>
          </w:p>
        </w:tc>
      </w:tr>
      <w:tr>
        <w:tc>
          <w:tcPr>
            <w:tcW w:type="dxa" w:w="1337"/>
            <w:shd w:fill="F8FAFC"/>
            <w:tcMar>
              <w:top w:w="100" w:type="dxa"/>
              <w:bottom w:w="100" w:type="dxa"/>
              <w:left w:w="140" w:type="dxa"/>
              <w:right w:w="140" w:type="dxa"/>
            </w:tcMar>
          </w:tcPr>
          <w:p>
            <w:pPr>
              <w:jc w:val="left"/>
            </w:pPr>
            <w:r>
              <w:rPr>
                <w:color w:val="1E293B"/>
                <w:sz w:val="19"/>
              </w:rPr>
              <w:t xml:space="preserve">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86.18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61.88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72.03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70.33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82.33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75.86 </w:t>
            </w:r>
            <w:r>
              <w:rPr>
                <w:b/>
                <w:color w:val="1E293B"/>
                <w:sz w:val="19"/>
              </w:rPr>
              <w:t xml:space="preserve"> [10]</w:t>
            </w:r>
          </w:p>
        </w:tc>
      </w:tr>
      <w:tr>
        <w:tc>
          <w:tcPr>
            <w:tcW w:type="dxa" w:w="1337"/>
            <w:shd w:fill="FFFFFF"/>
            <w:tcMar>
              <w:top w:w="100" w:type="dxa"/>
              <w:bottom w:w="100" w:type="dxa"/>
              <w:left w:w="140" w:type="dxa"/>
              <w:right w:w="140" w:type="dxa"/>
            </w:tcMar>
          </w:tcPr>
          <w:p>
            <w:pPr>
              <w:jc w:val="left"/>
            </w:pPr>
            <w:r>
              <w:rPr>
                <w:color w:val="1E293B"/>
                <w:sz w:val="19"/>
              </w:rPr>
              <w:t xml:space="preserve">MLM_80_0_20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86.31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60.05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70.82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71.85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83.47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77.23 </w:t>
            </w:r>
            <w:r>
              <w:rPr>
                <w:b/>
                <w:color w:val="1E293B"/>
                <w:sz w:val="19"/>
              </w:rPr>
              <w:t xml:space="preserve"> [10]</w:t>
            </w:r>
          </w:p>
        </w:tc>
      </w:tr>
      <w:tr>
        <w:tc>
          <w:tcPr>
            <w:tcW w:type="dxa" w:w="1337"/>
            <w:shd w:fill="F8FAFC"/>
            <w:tcMar>
              <w:top w:w="100" w:type="dxa"/>
              <w:bottom w:w="100" w:type="dxa"/>
              <w:left w:w="140" w:type="dxa"/>
              <w:right w:w="140" w:type="dxa"/>
            </w:tcMar>
          </w:tcPr>
          <w:p>
            <w:pPr>
              <w:jc w:val="left"/>
            </w:pPr>
            <w:r>
              <w:rPr>
                <w:color w:val="1E293B"/>
                <w:sz w:val="19"/>
              </w:rPr>
              <w:t xml:space="preserve">MLM_80_(10_TF_IDF)_10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86.59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61.75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72.09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68.73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81.62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 xml:space="preserve">74.62 </w:t>
            </w:r>
            <w:r>
              <w:rPr>
                <w:b/>
                <w:color w:val="1E293B"/>
                <w:sz w:val="19"/>
              </w:rPr>
              <w:t xml:space="preserve"> [10]</w:t>
            </w:r>
          </w:p>
        </w:tc>
      </w:tr>
      <w:tr>
        <w:tc>
          <w:tcPr>
            <w:tcW w:type="dxa" w:w="1337"/>
            <w:shd w:fill="FFFFFF"/>
            <w:tcMar>
              <w:top w:w="100" w:type="dxa"/>
              <w:bottom w:w="100" w:type="dxa"/>
              <w:left w:w="140" w:type="dxa"/>
              <w:right w:w="140" w:type="dxa"/>
            </w:tcMar>
          </w:tcPr>
          <w:p>
            <w:pPr>
              <w:jc w:val="left"/>
            </w:pPr>
            <w:r>
              <w:rPr>
                <w:color w:val="1E293B"/>
                <w:sz w:val="19"/>
              </w:rPr>
              <w:t xml:space="preserve">MLM_80_(20_TF_IDF)_0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86.61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61.83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72.15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67.53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81.15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 xml:space="preserve">73.72 </w:t>
            </w:r>
            <w:r>
              <w:rPr>
                <w:b/>
                <w:color w:val="1E293B"/>
                <w:sz w:val="19"/>
              </w:rPr>
              <w:t xml:space="preserve"> [10]</w:t>
            </w:r>
          </w:p>
        </w:tc>
      </w:tr>
    </w:tbl>
    <w:p>
      <w:pPr>
        <w:spacing w:after="120"/>
      </w:pP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the use of legal thesis texts rather than sensitive files from practicing legal professionals, a restriction to Turkish legal text without multilingual evaluations, and limiting technical scope to NER and multi-label text classification </w:t>
      </w:r>
      <w:r>
        <w:rPr>
          <w:b/>
          <w:color w:val="0284C7"/>
          <w:sz w:val="19"/>
        </w:rPr>
        <w:t xml:space="preserve"> [11]</w:t>
      </w:r>
      <w:r>
        <w:t xml:space="preserve">. Furthermore, models were trained for only a single epoch, and TF-IDF enhancements targeted tokens rather than whole words </w:t>
      </w:r>
      <w:r>
        <w:rPr>
          <w:b/>
          <w:color w:val="0284C7"/>
          <w:sz w:val="19"/>
        </w:rPr>
        <w:t xml:space="preserve"> [11]</w:t>
      </w:r>
      <w:r>
        <w:t xml:space="preserve">. Future work aims to incorporate larger professional corpora, multi-epoch training, whole-word TF-IDF adaptations, and additional downstream tasks like question answering </w:t>
      </w:r>
      <w:r>
        <w:rPr>
          <w:b/>
          <w:color w:val="0284C7"/>
          <w:sz w:val="19"/>
        </w:rPr>
        <w:t xml:space="preserve"> [11]</w:t>
      </w:r>
      <w:r>
        <w:t>.</w:t>
      </w:r>
    </w:p>
    <w:p>
      <w:pPr>
        <w:spacing w:before="200" w:after="80"/>
      </w:pPr>
      <w:r>
        <w:rPr>
          <w:rFonts w:ascii="Arial" w:hAnsi="Arial"/>
          <w:b/>
          <w:color w:val="1E293B"/>
          <w:sz w:val="22"/>
        </w:rPr>
        <w:t>1. Core Problem &amp; Objective</w:t>
      </w:r>
    </w:p>
    <w:p>
      <w:pPr>
        <w:spacing w:before="40" w:after="120" w:line="276" w:lineRule="auto"/>
      </w:pPr>
      <w:r>
        <w:t>The paper investigates the average dimension of 2-Selmer groups of elliptic curves over multiquadratic extensions (</w:t>
      </w:r>
      <w:r>
        <w:rPr>
          <w:rFonts w:ascii="Cambria Math" w:hAnsi="Cambria Math"/>
          <w:i/>
          <w:color w:val="0F2942"/>
        </w:rPr>
        <w:t xml:space="preserve"> K/mathbbQ </w:t>
      </w:r>
      <w:r>
        <w:t xml:space="preserve">) ordered by naive height </w:t>
      </w:r>
      <w:r>
        <w:rPr>
          <w:rFonts w:ascii="Cambria Math" w:hAnsi="Cambria Math"/>
          <w:i/>
          <w:color w:val="0F2942"/>
        </w:rPr>
        <w:t xml:space="preserve"> X </w:t>
      </w:r>
      <w:r>
        <w:t xml:space="preserve"> </w:t>
      </w:r>
      <w:r>
        <w:rPr>
          <w:b/>
          <w:color w:val="0284C7"/>
          <w:sz w:val="19"/>
        </w:rPr>
        <w:t xml:space="preserve"> [12, 14]</w:t>
      </w:r>
      <w:r>
        <w:t xml:space="preserve">. The objective is to establish upper bounds (limsup </w:t>
      </w:r>
      <w:r>
        <w:rPr>
          <w:rFonts w:ascii="Cambria Math" w:hAnsi="Cambria Math"/>
          <w:i/>
          <w:color w:val="0F2942"/>
        </w:rPr>
        <w:t xml:space="preserve"> A^+(K) </w:t>
      </w:r>
      <w:r>
        <w:t xml:space="preserve">) and lower bounds (liminf </w:t>
      </w:r>
      <w:r>
        <w:rPr>
          <w:rFonts w:ascii="Cambria Math" w:hAnsi="Cambria Math"/>
          <w:i/>
          <w:color w:val="0F2942"/>
        </w:rPr>
        <w:t xml:space="preserve"> A^-(K) </w:t>
      </w:r>
      <w:r>
        <w:t xml:space="preserve">) for these average dimensions, advancing beyond prior results restricted to base fields or specific Galois extensions </w:t>
      </w:r>
      <w:r>
        <w:rPr>
          <w:b/>
          <w:color w:val="0284C7"/>
          <w:sz w:val="19"/>
        </w:rPr>
        <w:t xml:space="preserve"> [12]</w:t>
      </w:r>
      <w:r>
        <w:t>.</w:t>
      </w:r>
    </w:p>
    <w:p>
      <w:pPr>
        <w:spacing w:before="200" w:after="80"/>
      </w:pPr>
      <w:r>
        <w:rPr>
          <w:rFonts w:ascii="Arial" w:hAnsi="Arial"/>
          <w:b/>
          <w:color w:val="1E293B"/>
          <w:sz w:val="22"/>
        </w:rPr>
        <w:t>2. Methodology &amp; Architecture</w:t>
      </w:r>
    </w:p>
    <w:p>
      <w:pPr>
        <w:spacing w:before="40" w:after="120" w:line="276" w:lineRule="auto"/>
      </w:pPr>
      <w:r>
        <w:t xml:space="preserve">The study analyzes the genus theory invariant for 2-Selmer groups over multiquadratic fields, bounding and determining its average </w:t>
      </w:r>
      <w:r>
        <w:rPr>
          <w:b/>
          <w:color w:val="0284C7"/>
          <w:sz w:val="19"/>
        </w:rPr>
        <w:t xml:space="preserve"> [14]</w:t>
      </w:r>
      <w:r>
        <w:t xml:space="preserve">. The methodology adapts a variant of the Ekedahl sieve for local sums to convert genus theory averages into sums of </w:t>
      </w:r>
      <w:r>
        <w:rPr>
          <w:rFonts w:ascii="Cambria Math" w:hAnsi="Cambria Math"/>
          <w:i/>
          <w:color w:val="0F2942"/>
        </w:rPr>
        <w:t xml:space="preserve"> p </w:t>
      </w:r>
      <w:r>
        <w:t xml:space="preserve">-adic integrals of local norm indices </w:t>
      </w:r>
      <w:r>
        <w:rPr>
          <w:b/>
          <w:color w:val="0284C7"/>
          <w:sz w:val="19"/>
        </w:rPr>
        <w:t xml:space="preserve"> [15]</w:t>
      </w:r>
      <w:r>
        <w:t xml:space="preserve">. Comprehensive classifications of reduction types are conducted using Tate's algorithm for minimal models in residue characteristics </w:t>
      </w:r>
      <w:r>
        <w:rPr>
          <w:b/>
          <w:color w:val="0284C7"/>
          <w:sz w:val="19"/>
        </w:rPr>
        <w:t xml:space="preserve"> [13]</w:t>
      </w:r>
      <w:r>
        <w:t>.</w:t>
      </w:r>
    </w:p>
    <w:p>
      <w:pPr>
        <w:spacing w:before="200" w:after="80"/>
      </w:pPr>
      <w:r>
        <w:rPr>
          <w:rFonts w:ascii="Arial" w:hAnsi="Arial"/>
          <w:b/>
          <w:color w:val="1E293B"/>
          <w:sz w:val="22"/>
        </w:rPr>
        <w:t>3. Experimental Setup &amp; Datasets</w:t>
      </w:r>
    </w:p>
    <w:p>
      <w:pPr>
        <w:spacing w:before="40" w:after="120" w:line="276" w:lineRule="auto"/>
      </w:pPr>
      <w:r>
        <w:t xml:space="preserve">This is a pure mathematics and number theory research study rather than a machine learning experiment; it utilizes theoretical bounds, asymptotic limits as height </w:t>
      </w:r>
      <w:r>
        <w:rPr>
          <w:rFonts w:ascii="Cambria Math" w:hAnsi="Cambria Math"/>
          <w:i/>
          <w:color w:val="0F2942"/>
        </w:rPr>
        <w:t xml:space="preserve"> X to ∞ </w:t>
      </w:r>
      <w:r>
        <w:t xml:space="preserve">, and algebraic sieve methods </w:t>
      </w:r>
      <w:r>
        <w:rPr>
          <w:b/>
          <w:color w:val="0284C7"/>
          <w:sz w:val="19"/>
        </w:rPr>
        <w:t xml:space="preserve"> [12, 14]</w:t>
      </w:r>
      <w:r>
        <w:t>.</w:t>
      </w:r>
    </w:p>
    <w:p>
      <w:pPr>
        <w:spacing w:before="200" w:after="80"/>
      </w:pPr>
      <w:r>
        <w:rPr>
          <w:rFonts w:ascii="Arial" w:hAnsi="Arial"/>
          <w:b/>
          <w:color w:val="1E293B"/>
          <w:sz w:val="22"/>
        </w:rPr>
        <w:t>4. Key Findings &amp; Reported Metrics</w:t>
      </w:r>
    </w:p>
    <w:p>
      <w:pPr>
        <w:spacing w:before="40" w:after="120" w:line="276" w:lineRule="auto"/>
      </w:pPr>
      <w:r>
        <w:t xml:space="preserve">The article proves stronger upper bounds for </w:t>
      </w:r>
      <w:r>
        <w:rPr>
          <w:rFonts w:ascii="Cambria Math" w:hAnsi="Cambria Math"/>
          <w:i/>
          <w:color w:val="0F2942"/>
        </w:rPr>
        <w:t xml:space="preserve"> A^+(K) </w:t>
      </w:r>
      <w:r>
        <w:t xml:space="preserve"> and establishes positive lower bounds for </w:t>
      </w:r>
      <w:r>
        <w:rPr>
          <w:rFonts w:ascii="Cambria Math" w:hAnsi="Cambria Math"/>
          <w:i/>
          <w:color w:val="0F2942"/>
        </w:rPr>
        <w:t xml:space="preserve"> A^-(K) </w:t>
      </w:r>
      <w:r>
        <w:t xml:space="preserve"> when </w:t>
      </w:r>
      <w:r>
        <w:rPr>
          <w:rFonts w:ascii="Cambria Math" w:hAnsi="Cambria Math"/>
          <w:i/>
          <w:color w:val="0F2942"/>
        </w:rPr>
        <w:t xml:space="preserve"> K/mathbbQ </w:t>
      </w:r>
      <w:r>
        <w:t xml:space="preserve"> is a multiquadratic extension (a nontrivial finite Galois extension with an elementary abelian 2-group as its Galois group) </w:t>
      </w:r>
      <w:r>
        <w:rPr>
          <w:b/>
          <w:color w:val="0284C7"/>
          <w:sz w:val="19"/>
        </w:rPr>
        <w:t xml:space="preserve"> [12]</w:t>
      </w:r>
      <w:r>
        <w:t xml:space="preserve">. In the specific case of quadratic fields, these derived bounds are shown to be very close for a positive proportion of extensions </w:t>
      </w:r>
      <w:r>
        <w:rPr>
          <w:b/>
          <w:color w:val="0284C7"/>
          <w:sz w:val="19"/>
        </w:rPr>
        <w:t xml:space="preserve"> [12, 14]</w:t>
      </w:r>
      <w:r>
        <w:t>.</w:t>
      </w:r>
    </w:p>
    <w:p>
      <w:pPr>
        <w:spacing w:before="200" w:after="80"/>
      </w:pPr>
      <w:r>
        <w:rPr>
          <w:rFonts w:ascii="Arial" w:hAnsi="Arial"/>
          <w:b/>
          <w:color w:val="1E293B"/>
          <w:sz w:val="22"/>
        </w:rPr>
        <w:t>5. Limitations &amp; Open Questions</w:t>
      </w:r>
    </w:p>
    <w:p>
      <w:pPr>
        <w:spacing w:before="40" w:after="120" w:line="276" w:lineRule="auto"/>
      </w:pPr>
      <w:r>
        <w:t xml:space="preserve">While author-stated limitations are not explicitly framed as empirical constraints, the study relies on auxiliary conjectures and asymptotic limits as </w:t>
      </w:r>
      <w:r>
        <w:rPr>
          <w:rFonts w:ascii="Cambria Math" w:hAnsi="Cambria Math"/>
          <w:i/>
          <w:color w:val="0F2942"/>
        </w:rPr>
        <w:t xml:space="preserve"> X to ∞ </w:t>
      </w:r>
      <w:r>
        <w:t xml:space="preserve"> </w:t>
      </w:r>
      <w:r>
        <w:rPr>
          <w:b/>
          <w:color w:val="0284C7"/>
          <w:sz w:val="19"/>
        </w:rPr>
        <w:t xml:space="preserve"> [12]</w:t>
      </w:r>
      <w:r>
        <w:t xml:space="preserve">. The developed Ekedahl sieve framework is presented in general terms to encourage future applications across broader arithmetic settings </w:t>
      </w:r>
      <w:r>
        <w:rPr>
          <w:b/>
          <w:color w:val="0284C7"/>
          <w:sz w:val="19"/>
        </w:rPr>
        <w:t xml:space="preserve"> [15]</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computational overhead and expressiveness trade-offs in long-context transformer models by combining sparse token selection efficiency with the stability and expressiveness of gating mechanisms </w:t>
      </w:r>
      <w:r>
        <w:rPr>
          <w:b/>
          <w:color w:val="0284C7"/>
          <w:sz w:val="19"/>
        </w:rPr>
        <w:t xml:space="preserve"> [17, 18]</w:t>
      </w:r>
      <w:r>
        <w:t>.</w:t>
      </w:r>
    </w:p>
    <w:p>
      <w:pPr>
        <w:spacing w:before="200" w:after="80"/>
      </w:pPr>
      <w:r>
        <w:rPr>
          <w:rFonts w:ascii="Arial" w:hAnsi="Arial"/>
          <w:b/>
          <w:color w:val="1E293B"/>
          <w:sz w:val="22"/>
        </w:rPr>
        <w:t>2. Methodology &amp; Architecture</w:t>
      </w:r>
    </w:p>
    <w:p>
      <w:pPr>
        <w:spacing w:before="40" w:after="120" w:line="276" w:lineRule="auto"/>
      </w:pPr>
      <w:r>
        <w:t xml:space="preserve">The proposed Gated Sparse Attention (GSA) architecture relies on three core components: (1) a gated lightning indexer that replaces ReLU scoring with sigmoid units yielding probabilistic, gradient-responsive importance scores in </w:t>
      </w:r>
      <w:r>
        <w:rPr>
          <w:rFonts w:ascii="Cambria Math" w:hAnsi="Cambria Math"/>
          <w:i/>
          <w:color w:val="0F2942"/>
        </w:rPr>
        <w:t xml:space="preserve"> (0, H_I) </w:t>
      </w:r>
      <w:r>
        <w:t xml:space="preserve">; (2) an adaptive sparsity controller that modulates selection budget </w:t>
      </w:r>
      <w:r>
        <w:rPr>
          <w:rFonts w:ascii="Cambria Math" w:hAnsi="Cambria Math"/>
          <w:i/>
          <w:color w:val="0F2942"/>
        </w:rPr>
        <w:t xml:space="preserve"> k_t </w:t>
      </w:r>
      <w:r>
        <w:t xml:space="preserve"> dynamically based on score variance (aggressive pruning for high variance, larger context windows for low variance); and (3) dual gating applied to values before aggregation (</w:t>
      </w:r>
      <w:r>
        <w:rPr>
          <w:rFonts w:ascii="Cambria Math" w:hAnsi="Cambria Math"/>
          <w:i/>
          <w:color w:val="0F2942"/>
        </w:rPr>
        <w:t xml:space="preserve"> G_2 </w:t>
      </w:r>
      <w:r>
        <w:t>) and to outputs after scaled dot-product attention (</w:t>
      </w:r>
      <w:r>
        <w:rPr>
          <w:rFonts w:ascii="Cambria Math" w:hAnsi="Cambria Math"/>
          <w:i/>
          <w:color w:val="0F2942"/>
        </w:rPr>
        <w:t xml:space="preserve"> G_1 </w:t>
      </w:r>
      <w:r>
        <w:t xml:space="preserve">) to break rank bottlenecks and suppress irrelevant information without sink tokens </w:t>
      </w:r>
      <w:r>
        <w:rPr>
          <w:b/>
          <w:color w:val="0284C7"/>
          <w:sz w:val="19"/>
        </w:rPr>
        <w:t xml:space="preserve"> [18]</w:t>
      </w:r>
      <w:r>
        <w:t>.</w:t>
      </w:r>
    </w:p>
    <w:p>
      <w:pPr>
        <w:spacing w:before="200" w:after="80"/>
      </w:pPr>
      <w:r>
        <w:rPr>
          <w:rFonts w:ascii="Arial" w:hAnsi="Arial"/>
          <w:b/>
          <w:color w:val="1E293B"/>
          <w:sz w:val="22"/>
        </w:rPr>
        <w:t>3. Experimental Setup &amp; Datasets</w:t>
      </w:r>
    </w:p>
    <w:p>
      <w:pPr>
        <w:spacing w:before="40" w:after="120" w:line="276" w:lineRule="auto"/>
      </w:pPr>
      <w:r>
        <w:t xml:space="preserve">Models with 1.7B parameters are trained from scratch on 400B tokens from SlimPajama using 24 layers, a hidden dimension of 2048, 16 query heads, 4 key-value heads, and SwiGLU feed-forward blocks </w:t>
      </w:r>
      <w:r>
        <w:rPr>
          <w:b/>
          <w:color w:val="0284C7"/>
          <w:sz w:val="19"/>
        </w:rPr>
        <w:t xml:space="preserve"> [16]</w:t>
      </w:r>
      <w:r>
        <w:t xml:space="preserve">. Evaluations use a 4K training context window extended to 128K via YaRN positional interpolation, tested on WikiText-103, C4, MMLU, GSM8K, and RULER-128K benchmarks </w:t>
      </w:r>
      <w:r>
        <w:rPr>
          <w:b/>
          <w:color w:val="0284C7"/>
          <w:sz w:val="19"/>
        </w:rPr>
        <w:t xml:space="preserve"> [16, 17]</w:t>
      </w:r>
      <w:r>
        <w:t>.</w:t>
      </w:r>
    </w:p>
    <w:p>
      <w:pPr>
        <w:spacing w:before="200" w:after="80"/>
      </w:pPr>
      <w:r>
        <w:rPr>
          <w:rFonts w:ascii="Arial" w:hAnsi="Arial"/>
          <w:b/>
          <w:color w:val="1E293B"/>
          <w:sz w:val="22"/>
        </w:rPr>
        <w:t>4. Key Findings &amp; Reported Metrics</w:t>
      </w:r>
    </w:p>
    <w:p>
      <w:pPr>
        <w:spacing w:before="40" w:after="120" w:line="276" w:lineRule="auto"/>
      </w:pPr>
      <w:r>
        <w:t xml:space="preserve">Language modeling perplexity (lower is better) on WikiText-103 and C4 datasets is summarized below </w:t>
      </w:r>
      <w:r>
        <w:rPr>
          <w:b/>
          <w:color w:val="0284C7"/>
          <w:sz w:val="19"/>
        </w:rPr>
        <w:t xml:space="preserve"> [16]</w:t>
      </w:r>
      <w:r>
        <w:t>:</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 Configuration</w:t>
            </w:r>
          </w:p>
        </w:tc>
        <w:tc>
          <w:tcPr>
            <w:tcW w:type="dxa" w:w="3120"/>
            <w:shd w:fill="0F2942"/>
            <w:tcMar>
              <w:top w:w="120" w:type="dxa"/>
              <w:bottom w:w="120" w:type="dxa"/>
              <w:left w:w="140" w:type="dxa"/>
              <w:right w:w="140" w:type="dxa"/>
            </w:tcMar>
          </w:tcPr>
          <w:p>
            <w:pPr>
              <w:jc w:val="left"/>
            </w:pPr>
            <w:r>
              <w:rPr>
                <w:b/>
                <w:color w:val="FFFFFF"/>
                <w:sz w:val="19"/>
              </w:rPr>
              <w:t>WikiText-103 Perplexity</w:t>
            </w:r>
          </w:p>
        </w:tc>
        <w:tc>
          <w:tcPr>
            <w:tcW w:type="dxa" w:w="3120"/>
            <w:shd w:fill="0F2942"/>
            <w:tcMar>
              <w:top w:w="120" w:type="dxa"/>
              <w:bottom w:w="120" w:type="dxa"/>
              <w:left w:w="140" w:type="dxa"/>
              <w:right w:w="140" w:type="dxa"/>
            </w:tcMar>
          </w:tcPr>
          <w:p>
            <w:pPr>
              <w:jc w:val="left"/>
            </w:pPr>
            <w:r>
              <w:rPr>
                <w:b/>
                <w:color w:val="FFFFFF"/>
                <w:sz w:val="19"/>
              </w:rPr>
              <w:t>C4 Perplexity</w:t>
            </w:r>
          </w:p>
        </w:tc>
      </w:tr>
      <w:tr>
        <w:tc>
          <w:tcPr>
            <w:tcW w:type="dxa" w:w="3120"/>
            <w:shd w:fill="F8FAFC"/>
            <w:tcMar>
              <w:top w:w="100" w:type="dxa"/>
              <w:bottom w:w="100" w:type="dxa"/>
              <w:left w:w="140" w:type="dxa"/>
              <w:right w:w="140" w:type="dxa"/>
            </w:tcMar>
          </w:tcPr>
          <w:p>
            <w:pPr>
              <w:jc w:val="left"/>
            </w:pPr>
            <w:r>
              <w:rPr>
                <w:color w:val="1E293B"/>
                <w:sz w:val="19"/>
              </w:rPr>
              <w:t xml:space="preserve">Standard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 xml:space="preserve">6.03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 xml:space="preserve">7.82 </w:t>
            </w:r>
            <w:r>
              <w:rPr>
                <w:b/>
                <w:color w:val="1E293B"/>
                <w:sz w:val="19"/>
              </w:rPr>
              <w:t xml:space="preserve"> [16]</w:t>
            </w:r>
          </w:p>
        </w:tc>
      </w:tr>
      <w:tr>
        <w:tc>
          <w:tcPr>
            <w:tcW w:type="dxa" w:w="3120"/>
            <w:shd w:fill="FFFFFF"/>
            <w:tcMar>
              <w:top w:w="100" w:type="dxa"/>
              <w:bottom w:w="100" w:type="dxa"/>
              <w:left w:w="140" w:type="dxa"/>
              <w:right w:w="140" w:type="dxa"/>
            </w:tcMar>
          </w:tcPr>
          <w:p>
            <w:pPr>
              <w:jc w:val="left"/>
            </w:pPr>
            <w:r>
              <w:rPr>
                <w:color w:val="1E293B"/>
                <w:sz w:val="19"/>
              </w:rPr>
              <w:t xml:space="preserve">Sparse only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 xml:space="preserve">6.02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 xml:space="preserve">7.79 </w:t>
            </w:r>
            <w:r>
              <w:rPr>
                <w:b/>
                <w:color w:val="1E293B"/>
                <w:sz w:val="19"/>
              </w:rPr>
              <w:t xml:space="preserve"> [16]</w:t>
            </w:r>
          </w:p>
        </w:tc>
      </w:tr>
      <w:tr>
        <w:tc>
          <w:tcPr>
            <w:tcW w:type="dxa" w:w="3120"/>
            <w:shd w:fill="F8FAFC"/>
            <w:tcMar>
              <w:top w:w="100" w:type="dxa"/>
              <w:bottom w:w="100" w:type="dxa"/>
              <w:left w:w="140" w:type="dxa"/>
              <w:right w:w="140" w:type="dxa"/>
            </w:tcMar>
          </w:tcPr>
          <w:p>
            <w:pPr>
              <w:jc w:val="left"/>
            </w:pPr>
            <w:r>
              <w:rPr>
                <w:color w:val="1E293B"/>
                <w:sz w:val="19"/>
              </w:rPr>
              <w:t xml:space="preserve">Gated only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 xml:space="preserve">5.76 </w:t>
            </w:r>
            <w:r>
              <w:rPr>
                <w:b/>
                <w:color w:val="1E293B"/>
                <w:sz w:val="19"/>
              </w:rPr>
              <w:t xml:space="preserve"> [16]</w:t>
            </w:r>
          </w:p>
        </w:tc>
        <w:tc>
          <w:tcPr>
            <w:tcW w:type="dxa" w:w="3120"/>
            <w:shd w:fill="F8FAFC"/>
            <w:tcMar>
              <w:top w:w="100" w:type="dxa"/>
              <w:bottom w:w="100" w:type="dxa"/>
              <w:left w:w="140" w:type="dxa"/>
              <w:right w:w="140" w:type="dxa"/>
            </w:tcMar>
          </w:tcPr>
          <w:p>
            <w:pPr>
              <w:jc w:val="left"/>
            </w:pPr>
            <w:r>
              <w:rPr>
                <w:color w:val="1E293B"/>
                <w:sz w:val="19"/>
              </w:rPr>
              <w:t xml:space="preserve">7.45 </w:t>
            </w:r>
            <w:r>
              <w:rPr>
                <w:b/>
                <w:color w:val="1E293B"/>
                <w:sz w:val="19"/>
              </w:rPr>
              <w:t xml:space="preserve"> [16]</w:t>
            </w:r>
          </w:p>
        </w:tc>
      </w:tr>
      <w:tr>
        <w:tc>
          <w:tcPr>
            <w:tcW w:type="dxa" w:w="3120"/>
            <w:shd w:fill="FFFFFF"/>
            <w:tcMar>
              <w:top w:w="100" w:type="dxa"/>
              <w:bottom w:w="100" w:type="dxa"/>
              <w:left w:w="140" w:type="dxa"/>
              <w:right w:w="140" w:type="dxa"/>
            </w:tcMar>
          </w:tcPr>
          <w:p>
            <w:pPr>
              <w:jc w:val="left"/>
            </w:pPr>
            <w:r>
              <w:rPr>
                <w:color w:val="1E293B"/>
                <w:sz w:val="19"/>
              </w:rPr>
              <w:t xml:space="preserve">GSA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 xml:space="preserve">5.70 </w:t>
            </w:r>
            <w:r>
              <w:rPr>
                <w:b/>
                <w:color w:val="1E293B"/>
                <w:sz w:val="19"/>
              </w:rPr>
              <w:t xml:space="preserve"> [16]</w:t>
            </w:r>
          </w:p>
        </w:tc>
        <w:tc>
          <w:tcPr>
            <w:tcW w:type="dxa" w:w="3120"/>
            <w:shd w:fill="FFFFFF"/>
            <w:tcMar>
              <w:top w:w="100" w:type="dxa"/>
              <w:bottom w:w="100" w:type="dxa"/>
              <w:left w:w="140" w:type="dxa"/>
              <w:right w:w="140" w:type="dxa"/>
            </w:tcMar>
          </w:tcPr>
          <w:p>
            <w:pPr>
              <w:jc w:val="left"/>
            </w:pPr>
            <w:r>
              <w:rPr>
                <w:color w:val="1E293B"/>
                <w:sz w:val="19"/>
              </w:rPr>
              <w:t xml:space="preserve">7.38 </w:t>
            </w:r>
            <w:r>
              <w:rPr>
                <w:b/>
                <w:color w:val="1E293B"/>
                <w:sz w:val="19"/>
              </w:rPr>
              <w:t xml:space="preserve"> [16]</w:t>
            </w:r>
          </w:p>
        </w:tc>
      </w:tr>
    </w:tbl>
    <w:p>
      <w:pPr>
        <w:spacing w:after="120"/>
      </w:pPr>
    </w:p>
    <w:p>
      <w:pPr>
        <w:spacing w:before="40" w:after="120" w:line="276" w:lineRule="auto"/>
      </w:pPr>
      <w:r>
        <w:t xml:space="preserve">Additionally, GSA achieved leading accuracy across five downstream benchmarks, demonstrating the largest gains on MMLU (+2.6 points over standard) and GSM8K (+3.1 points) </w:t>
      </w:r>
      <w:r>
        <w:rPr>
          <w:b/>
          <w:color w:val="0284C7"/>
          <w:sz w:val="19"/>
        </w:rPr>
        <w:t xml:space="preserve"> [16]</w:t>
      </w:r>
      <w:r>
        <w:t xml:space="preserve">. Throughput improved by an order of magnitude at 128K context </w:t>
      </w:r>
      <w:r>
        <w:rPr>
          <w:b/>
          <w:color w:val="0284C7"/>
          <w:sz w:val="19"/>
        </w:rPr>
        <w:t xml:space="preserve"> [17]</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note that for short sequences (below roughly 4K tokens), the indexer's overhead can exceed sparse attention savings, requiring a switch to dense attention below this threshold </w:t>
      </w:r>
      <w:r>
        <w:rPr>
          <w:b/>
          <w:color w:val="0284C7"/>
          <w:sz w:val="19"/>
        </w:rPr>
        <w:t xml:space="preserve"> [17]</w:t>
      </w:r>
      <w:r>
        <w:t xml:space="preserve">. Furthermore, the indexer's </w:t>
      </w:r>
      <w:r>
        <w:rPr>
          <w:rFonts w:ascii="Cambria Math" w:hAnsi="Cambria Math"/>
          <w:i/>
          <w:color w:val="0F2942"/>
        </w:rPr>
        <w:t xml:space="preserve"> O(L^2) </w:t>
      </w:r>
      <w:r>
        <w:t xml:space="preserve"> scaling will eventually dominate at extreme lengths beyond 1M tokens, the two-phase training schedule adds implementation complexity, and GSA introduces new hyperparameters (</w:t>
      </w:r>
      <w:r>
        <w:rPr>
          <w:rFonts w:ascii="Cambria Math" w:hAnsi="Cambria Math"/>
          <w:i/>
          <w:color w:val="0F2942"/>
        </w:rPr>
        <w:t xml:space="preserve"> k_{textbase} </w:t>
      </w:r>
      <w:r>
        <w:t xml:space="preserve">, </w:t>
      </w:r>
      <w:r>
        <w:rPr>
          <w:rFonts w:ascii="Cambria Math" w:hAnsi="Cambria Math"/>
          <w:i/>
          <w:color w:val="0F2942"/>
        </w:rPr>
        <w:t xml:space="preserve"> d_I </w:t>
      </w:r>
      <w:r>
        <w:t xml:space="preserve">, and gate initialization) requiring tuning for new domains </w:t>
      </w:r>
      <w:r>
        <w:rPr>
          <w:b/>
          <w:color w:val="0284C7"/>
          <w:sz w:val="19"/>
        </w:rPr>
        <w:t xml:space="preserve"> [17]</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[5]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[8]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[9]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8">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8">
        <w:r>
          <w:rPr>
            <w:color w:val="0284C7"/>
            <w:u w:val="single"/>
          </w:rPr>
          <w:t>Open source PDF</w:t>
        </w:r>
      </w:hyperlink>
    </w:p>
    <w:p>
      <w:pPr>
        <w:spacing w:before="40" w:after="80"/>
        <w:ind w:left="432"/>
      </w:pPr>
      <w:r>
        <w:rPr>
          <w:b/>
          <w:color w:val="0284C7"/>
        </w:rPr>
        <w:t xml:space="preserve">[11]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19">
        <w:r>
          <w:rPr>
            <w:color w:val="0284C7"/>
            <w:u w:val="single"/>
          </w:rPr>
          <w:t>Open source PDF</w:t>
        </w:r>
      </w:hyperlink>
    </w:p>
    <w:p>
      <w:pPr>
        <w:spacing w:before="40" w:after="80"/>
        <w:ind w:left="432"/>
      </w:pPr>
      <w:r>
        <w:rPr>
          <w:b/>
          <w:color w:val="0284C7"/>
        </w:rPr>
        <w:t xml:space="preserve">[12]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0">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1">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0">
        <w:r>
          <w:rPr>
            <w:color w:val="0284C7"/>
            <w:u w:val="single"/>
          </w:rPr>
          <w:t>Open source PDF</w:t>
        </w:r>
      </w:hyperlink>
    </w:p>
    <w:p>
      <w:pPr>
        <w:spacing w:before="40" w:after="80"/>
        <w:ind w:left="432"/>
      </w:pPr>
      <w:r>
        <w:rPr>
          <w:b/>
          <w:color w:val="0284C7"/>
        </w:rPr>
        <w:t xml:space="preserve">[15]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2">
        <w:r>
          <w:rPr>
            <w:color w:val="0284C7"/>
            <w:u w:val="single"/>
          </w:rPr>
          <w:t>Open source PDF</w:t>
        </w:r>
      </w:hyperlink>
    </w:p>
    <w:p>
      <w:pPr>
        <w:spacing w:before="40" w:after="80"/>
        <w:ind w:left="432"/>
      </w:pPr>
      <w:r>
        <w:rPr>
          <w:b/>
          <w:color w:val="0284C7"/>
        </w:rPr>
        <w:t xml:space="preserve">[16]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3">
        <w:r>
          <w:rPr>
            <w:color w:val="0284C7"/>
            <w:u w:val="single"/>
          </w:rPr>
          <w:t>Open source PDF</w:t>
        </w:r>
      </w:hyperlink>
    </w:p>
    <w:p>
      <w:pPr>
        <w:spacing w:before="40" w:after="80"/>
        <w:ind w:left="432"/>
      </w:pPr>
      <w:r>
        <w:rPr>
          <w:b/>
          <w:color w:val="0284C7"/>
        </w:rPr>
        <w:t xml:space="preserve">[17]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4">
        <w:r>
          <w:rPr>
            <w:color w:val="0284C7"/>
            <w:u w:val="single"/>
          </w:rPr>
          <w:t>Open source PDF</w:t>
        </w:r>
      </w:hyperlink>
    </w:p>
    <w:p>
      <w:pPr>
        <w:spacing w:before="40" w:after="80"/>
        <w:ind w:left="432"/>
      </w:pPr>
      <w:r>
        <w:rPr>
          <w:b/>
          <w:color w:val="0284C7"/>
        </w:rPr>
        <w:t xml:space="preserve">[18]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5">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407.00648v1.pdf#page=7" TargetMode="External"/><Relationship Id="rId19" Type="http://schemas.openxmlformats.org/officeDocument/2006/relationships/hyperlink" Target="https://arxiv.org/pdf/2407.00648v1.pdf#page=10" TargetMode="External"/><Relationship Id="rId20" Type="http://schemas.openxmlformats.org/officeDocument/2006/relationships/hyperlink" Target="https://arxiv.org/pdf/2401.08828.pdf#page=1" TargetMode="External"/><Relationship Id="rId21" Type="http://schemas.openxmlformats.org/officeDocument/2006/relationships/hyperlink" Target="https://arxiv.org/pdf/2401.08828.pdf#page=31" TargetMode="External"/><Relationship Id="rId22" Type="http://schemas.openxmlformats.org/officeDocument/2006/relationships/hyperlink" Target="https://arxiv.org/pdf/2401.08828.pdf#page=4" TargetMode="External"/><Relationship Id="rId23" Type="http://schemas.openxmlformats.org/officeDocument/2006/relationships/hyperlink" Target="https://arxiv.org/pdf/2601.15305v1.pdf#page=9" TargetMode="External"/><Relationship Id="rId24" Type="http://schemas.openxmlformats.org/officeDocument/2006/relationships/hyperlink" Target="https://arxiv.org/pdf/2601.15305v1.pdf#page=11" TargetMode="External"/><Relationship Id="rId25"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