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2942"/>
          <w:sz w:val="44"/>
        </w:rPr>
        <w:t>Academic Literature Summary</w:t>
      </w:r>
    </w:p>
    <w:p>
      <w:pPr>
        <w:spacing w:before="0" w:after="320"/>
      </w:pPr>
      <w:r>
        <w:rPr>
          <w:b/>
          <w:color w:val="0284C7"/>
          <w:sz w:val="19"/>
        </w:rPr>
        <w:t xml:space="preserve">PAPER SUMMARY   |   </w:t>
      </w:r>
      <w:r>
        <w:rPr>
          <w:color w:val="64748B"/>
          <w:sz w:val="19"/>
        </w:rPr>
        <w:t>Date: October 26, 2026</w:t>
      </w:r>
    </w:p>
    <w:p>
      <w:pPr>
        <w:spacing w:before="0" w:after="280"/>
      </w:pPr>
      <w:r>
        <w:rPr>
          <w:i/>
          <w:color w:val="64748B"/>
          <w:sz w:val="20"/>
        </w:rPr>
        <w:t>Scope: Structured executive summary across 5 analyzed papers</w:t>
      </w:r>
    </w:p>
    <w:p>
      <w:pPr>
        <w:spacing w:before="0" w:after="280"/>
      </w:pPr>
      <w:r>
        <w:rPr>
          <w:color w:val="64748B"/>
          <w:sz w:val="18"/>
        </w:rPr>
        <w:t>――――――――――――――――――――――――――――――――――――――――――――――――――――</w:t>
      </w:r>
    </w:p>
    <w:p>
      <w:pPr>
        <w:spacing w:before="200" w:after="80"/>
      </w:pPr>
      <w:r>
        <w:rPr>
          <w:rFonts w:ascii="Arial" w:hAnsi="Arial"/>
          <w:b/>
          <w:color w:val="1E293B"/>
          <w:sz w:val="22"/>
        </w:rPr>
        <w:t>1. Core Problem &amp; Objective</w:t>
      </w:r>
    </w:p>
    <w:p>
      <w:pPr>
        <w:spacing w:before="40" w:after="120" w:line="276" w:lineRule="auto"/>
      </w:pPr>
      <w:r>
        <w:t xml:space="preserve">The paper addresses the need for a focused comparative evaluation of specific transformer architectures in Automatic Text Summarization (ATS) </w:t>
      </w:r>
      <w:r>
        <w:rPr>
          <w:b/>
          <w:color w:val="0284C7"/>
          <w:sz w:val="19"/>
        </w:rPr>
        <w:t xml:space="preserve"> [1]</w:t>
      </w:r>
      <w:r>
        <w:t xml:space="preserve">. While prior surveys offer broad overviews, there is a lack of detailed analysis on how architectural differences—specifically encoder-only versus encoder-decoder designs and pretraining objectives—impact effectiveness across extractive and abstractive summarization tasks </w:t>
      </w:r>
      <w:r>
        <w:rPr>
          <w:b/>
          <w:color w:val="0284C7"/>
          <w:sz w:val="19"/>
        </w:rPr>
        <w:t xml:space="preserve"> [1]</w:t>
      </w:r>
      <w:r>
        <w:t>.</w:t>
      </w:r>
    </w:p>
    <w:p>
      <w:pPr>
        <w:spacing w:before="200" w:after="80"/>
      </w:pPr>
      <w:r>
        <w:rPr>
          <w:rFonts w:ascii="Arial" w:hAnsi="Arial"/>
          <w:b/>
          <w:color w:val="1E293B"/>
          <w:sz w:val="22"/>
        </w:rPr>
        <w:t>2. Methodology &amp; Architecture</w:t>
      </w:r>
    </w:p>
    <w:p>
      <w:pPr>
        <w:spacing w:before="40" w:after="120" w:line="276" w:lineRule="auto"/>
      </w:pPr>
      <w:r>
        <w:t xml:space="preserve">The study evaluates three prominent transformer models: BERT (encoder-only, bidirectional contextual representations for extraction), RoBERTa (optimized encoder-only model with improved pretraining strategies and larger datasets), and BART (encoder-decoder framework tailored for generative, abstractive tasks) </w:t>
      </w:r>
      <w:r>
        <w:rPr>
          <w:b/>
          <w:color w:val="0284C7"/>
          <w:sz w:val="19"/>
        </w:rPr>
        <w:t xml:space="preserve"> [1]</w:t>
      </w:r>
      <w:r>
        <w:t>.</w:t>
      </w:r>
    </w:p>
    <w:p>
      <w:pPr>
        <w:spacing w:before="200" w:after="80"/>
      </w:pPr>
      <w:r>
        <w:rPr>
          <w:rFonts w:ascii="Arial" w:hAnsi="Arial"/>
          <w:b/>
          <w:color w:val="1E293B"/>
          <w:sz w:val="22"/>
        </w:rPr>
        <w:t>3. Experimental Setup &amp; Datasets</w:t>
      </w:r>
    </w:p>
    <w:p>
      <w:pPr>
        <w:spacing w:before="40" w:after="120" w:line="276" w:lineRule="auto"/>
      </w:pPr>
      <w:r>
        <w:t xml:space="preserve">The experiments utilize the CNN/Daily Mail dataset obtained via Kaggle in 2025, which consists of news articles paired with human-written reference summaries </w:t>
      </w:r>
      <w:r>
        <w:rPr>
          <w:b/>
          <w:color w:val="0284C7"/>
          <w:sz w:val="19"/>
        </w:rPr>
        <w:t xml:space="preserve"> [3]</w:t>
      </w:r>
      <w:r>
        <w:t xml:space="preserve">. Performance is evaluated using the Recall-Oriented Understudy for Gisting Evaluation (ROUGE) and BLEU metrics </w:t>
      </w:r>
      <w:r>
        <w:rPr>
          <w:b/>
          <w:color w:val="0284C7"/>
          <w:sz w:val="19"/>
        </w:rPr>
        <w:t xml:space="preserve"> [2, 3]</w:t>
      </w:r>
      <w:r>
        <w:t>.</w:t>
      </w:r>
    </w:p>
    <w:p>
      <w:pPr>
        <w:spacing w:before="200" w:after="80"/>
      </w:pPr>
      <w:r>
        <w:rPr>
          <w:rFonts w:ascii="Arial" w:hAnsi="Arial"/>
          <w:b/>
          <w:color w:val="1E293B"/>
          <w:sz w:val="22"/>
        </w:rPr>
        <w:t>4. Key Findings &amp; Reported Metrics</w:t>
      </w:r>
    </w:p>
    <w:p>
      <w:pPr>
        <w:spacing w:before="40" w:after="120" w:line="276" w:lineRule="auto"/>
      </w:pPr>
      <w:r>
        <w:t xml:space="preserve">BART significantly outperformed BERT across all ROUGE and BLEU metrics, demonstrating clear superiority in generative summarization </w:t>
      </w:r>
      <w:r>
        <w:rPr>
          <w:b/>
          <w:color w:val="0284C7"/>
          <w:sz w:val="19"/>
        </w:rPr>
        <w:t xml:space="preserve"> [4]</w:t>
      </w:r>
      <w:r>
        <w:t xml:space="preserve">. For instance, comparing BART and RoBERTa, BART achieved a ROUGE-1 score of approximately 0.4117, whereas RoBERTa achieved 0.1820 </w:t>
      </w:r>
      <w:r>
        <w:rPr>
          <w:b/>
          <w:color w:val="0284C7"/>
          <w:sz w:val="19"/>
        </w:rPr>
        <w:t xml:space="preserve"> [4]</w:t>
      </w:r>
      <w:r>
        <w:t xml:space="preserve">. Overall, extractive models like BERT and RoBERTa are more fact-preserving and stable, whereas abstractive models like BART achieve higher semantic quality and fluency </w:t>
      </w:r>
      <w:r>
        <w:rPr>
          <w:b/>
          <w:color w:val="0284C7"/>
          <w:sz w:val="19"/>
        </w:rPr>
        <w:t xml:space="preserve"> [5]</w:t>
      </w:r>
      <w:r>
        <w:t>.</w:t>
      </w:r>
    </w:p>
    <w:p>
      <w:pPr>
        <w:spacing w:before="200" w:after="80"/>
      </w:pPr>
      <w:r>
        <w:rPr>
          <w:rFonts w:ascii="Arial" w:hAnsi="Arial"/>
          <w:b/>
          <w:color w:val="1E293B"/>
          <w:sz w:val="22"/>
        </w:rPr>
        <w:t>5. Limitations &amp; Open Questions</w:t>
      </w:r>
    </w:p>
    <w:p>
      <w:pPr>
        <w:spacing w:before="40" w:after="120" w:line="276" w:lineRule="auto"/>
      </w:pPr>
      <w:r>
        <w:t xml:space="preserve">Author-stated limitations and future directions note that the comparison is influenced by variations in training configurations (fine-tuned encoder-only models versus a pretrained generative model) </w:t>
      </w:r>
      <w:r>
        <w:rPr>
          <w:b/>
          <w:color w:val="0284C7"/>
          <w:sz w:val="19"/>
        </w:rPr>
        <w:t xml:space="preserve"> [5]</w:t>
      </w:r>
      <w:r>
        <w:t xml:space="preserve">. The authors suggest fine-tuning BART on domain-specific corpora (medical, legal, educational) and comparing performance against larger contemporary models such as T5, LLaMA, and GPT-based architectures </w:t>
      </w:r>
      <w:r>
        <w:rPr>
          <w:b/>
          <w:color w:val="0284C7"/>
          <w:sz w:val="19"/>
        </w:rPr>
        <w:t xml:space="preserve"> [5]</w:t>
      </w:r>
      <w:r>
        <w:t>.</w:t>
      </w:r>
    </w:p>
    <w:p>
      <w:pPr>
        <w:spacing w:before="200" w:after="80"/>
      </w:pPr>
      <w:r>
        <w:rPr>
          <w:rFonts w:ascii="Arial" w:hAnsi="Arial"/>
          <w:b/>
          <w:color w:val="1E293B"/>
          <w:sz w:val="22"/>
        </w:rPr>
        <w:t>1. Core Problem &amp; Objective</w:t>
      </w:r>
    </w:p>
    <w:p>
      <w:pPr>
        <w:spacing w:before="40" w:after="120" w:line="276" w:lineRule="auto"/>
      </w:pPr>
      <w:r>
        <w:t xml:space="preserve">The paper addresses Uncertainty Quantification (UQ) problems by introducing the Deep Arbitrary Polynomial Chaos Neural Network (DaPC NN) to overcome the limitations of traditional Deep Artificial Neural Networks (DANN) and standard arbitrary polynomial chaos (aPC) expansions </w:t>
      </w:r>
      <w:r>
        <w:rPr>
          <w:b/>
          <w:color w:val="0284C7"/>
          <w:sz w:val="19"/>
        </w:rPr>
        <w:t xml:space="preserve"> [8, 9]</w:t>
      </w:r>
      <w:r>
        <w:t>.</w:t>
      </w:r>
    </w:p>
    <w:p>
      <w:pPr>
        <w:spacing w:before="200" w:after="80"/>
      </w:pPr>
      <w:r>
        <w:rPr>
          <w:rFonts w:ascii="Arial" w:hAnsi="Arial"/>
          <w:b/>
          <w:color w:val="1E293B"/>
          <w:sz w:val="22"/>
        </w:rPr>
        <w:t>2. Methodology &amp; Architecture</w:t>
      </w:r>
    </w:p>
    <w:p>
      <w:pPr>
        <w:spacing w:before="40" w:after="120" w:line="276" w:lineRule="auto"/>
      </w:pPr>
      <w:r>
        <w:t xml:space="preserve">The study proposes the DaPC NN architecture, which integrates arbitrary polynomial chaos expansions directly into deep neural network layers </w:t>
      </w:r>
      <w:r>
        <w:rPr>
          <w:b/>
          <w:color w:val="0284C7"/>
          <w:sz w:val="19"/>
        </w:rPr>
        <w:t xml:space="preserve"> [8, 9]</w:t>
      </w:r>
      <w:r>
        <w:t xml:space="preserve">. Unlike conventional DANNs that rely on standard activation functions, DaPC NN incorporates distinct non-linearity degrees across specific layers and introduces unknown weights associated with input neurons from previous layers </w:t>
      </w:r>
      <w:r>
        <w:rPr>
          <w:b/>
          <w:color w:val="0284C7"/>
          <w:sz w:val="19"/>
        </w:rPr>
        <w:t xml:space="preserve"> [6, 8]</w:t>
      </w:r>
      <w:r>
        <w:t>.</w:t>
      </w:r>
    </w:p>
    <w:p>
      <w:pPr>
        <w:spacing w:before="200" w:after="80"/>
      </w:pPr>
      <w:r>
        <w:rPr>
          <w:rFonts w:ascii="Arial" w:hAnsi="Arial"/>
          <w:b/>
          <w:color w:val="1E293B"/>
          <w:sz w:val="22"/>
        </w:rPr>
        <w:t>3. Experimental Setup &amp; Datasets</w:t>
      </w:r>
    </w:p>
    <w:p>
      <w:pPr>
        <w:spacing w:before="40" w:after="120" w:line="276" w:lineRule="auto"/>
      </w:pPr>
      <w:r>
        <w:t xml:space="preserve">The evaluation uses benchmark UQ problems, including the Ishigami test case with 3 inputs, an ON-10 test case with 10 inputs, and a carbon dioxide benchmark problem involving non-linear shock propagation </w:t>
      </w:r>
      <w:r>
        <w:rPr>
          <w:b/>
          <w:color w:val="0284C7"/>
          <w:sz w:val="19"/>
        </w:rPr>
        <w:t xml:space="preserve"> [6, 7, 8]</w:t>
      </w:r>
      <w:r>
        <w:t>. Training datasets (</w:t>
      </w:r>
      <w:r>
        <w:rPr>
          <w:rFonts w:ascii="Cambria Math" w:hAnsi="Cambria Math"/>
          <w:i/>
          <w:color w:val="0F2942"/>
        </w:rPr>
        <w:t xml:space="preserve"> mathcalD_T_N </w:t>
      </w:r>
      <w:r>
        <w:t xml:space="preserve">) of sizes </w:t>
      </w:r>
      <w:r>
        <w:rPr>
          <w:rFonts w:ascii="Cambria Math" w:hAnsi="Cambria Math"/>
          <w:i/>
          <w:color w:val="0F2942"/>
        </w:rPr>
        <w:t xml:space="preserve"> T_N = 10, 100, </w:t>
      </w:r>
      <w:r>
        <w:t xml:space="preserve"> and </w:t>
      </w:r>
      <w:r>
        <w:rPr>
          <w:rFonts w:ascii="Cambria Math" w:hAnsi="Cambria Math"/>
          <w:i/>
          <w:color w:val="0F2942"/>
        </w:rPr>
        <w:t xml:space="preserve"> 1000 </w:t>
      </w:r>
      <w:r>
        <w:t xml:space="preserve"> are evaluated, alongside validation datasets (</w:t>
      </w:r>
      <w:r>
        <w:rPr>
          <w:rFonts w:ascii="Cambria Math" w:hAnsi="Cambria Math"/>
          <w:i/>
          <w:color w:val="0F2942"/>
        </w:rPr>
        <w:t xml:space="preserve"> mathcalD_V_N </w:t>
      </w:r>
      <w:r>
        <w:t xml:space="preserve">) of size </w:t>
      </w:r>
      <w:r>
        <w:rPr>
          <w:rFonts w:ascii="Cambria Math" w:hAnsi="Cambria Math"/>
          <w:i/>
          <w:color w:val="0F2942"/>
        </w:rPr>
        <w:t xml:space="preserve"> V_N = 10^3 </w:t>
      </w:r>
      <w:r>
        <w:t xml:space="preserve"> generated via Monte Carlo sampling </w:t>
      </w:r>
      <w:r>
        <w:rPr>
          <w:b/>
          <w:color w:val="0284C7"/>
          <w:sz w:val="19"/>
        </w:rPr>
        <w:t xml:space="preserve"> [7]</w:t>
      </w:r>
      <w:r>
        <w:t>.</w:t>
      </w:r>
    </w:p>
    <w:p>
      <w:pPr>
        <w:spacing w:before="200" w:after="80"/>
      </w:pPr>
      <w:r>
        <w:rPr>
          <w:rFonts w:ascii="Arial" w:hAnsi="Arial"/>
          <w:b/>
          <w:color w:val="1E293B"/>
          <w:sz w:val="22"/>
        </w:rPr>
        <w:t>4. Key Findings &amp; Reported Metrics</w:t>
      </w:r>
    </w:p>
    <w:p>
      <w:pPr>
        <w:spacing w:before="40" w:after="120" w:line="276" w:lineRule="auto"/>
      </w:pPr>
      <w:r>
        <w:t xml:space="preserve">Convergence analysis using Mean Square Error (MSE), relative error of the mean value, and relative error of the standard deviation demonstrated that DaPC NN achieves faster convergence across all investigated metrics compared to conventional DANNs and standard aPC expansions </w:t>
      </w:r>
      <w:r>
        <w:rPr>
          <w:b/>
          <w:color w:val="0284C7"/>
          <w:sz w:val="19"/>
        </w:rPr>
        <w:t xml:space="preserve"> [8]</w:t>
      </w:r>
      <w:r>
        <w:t xml:space="preserve">. Conventional DANNs exhibited stronger point-cloud dispersion and higher spreading density relative to aPC and DaPC NN </w:t>
      </w:r>
      <w:r>
        <w:rPr>
          <w:b/>
          <w:color w:val="0284C7"/>
          <w:sz w:val="19"/>
        </w:rPr>
        <w:t xml:space="preserve"> [8]</w:t>
      </w:r>
      <w:r>
        <w:t>.</w:t>
      </w:r>
    </w:p>
    <w:p>
      <w:pPr>
        <w:spacing w:before="200" w:after="80"/>
      </w:pPr>
      <w:r>
        <w:rPr>
          <w:rFonts w:ascii="Arial" w:hAnsi="Arial"/>
          <w:b/>
          <w:color w:val="1E293B"/>
          <w:sz w:val="22"/>
        </w:rPr>
        <w:t>5. Limitations &amp; Open Questions</w:t>
      </w:r>
    </w:p>
    <w:p>
      <w:pPr>
        <w:spacing w:before="40" w:after="120" w:line="276" w:lineRule="auto"/>
      </w:pPr>
      <w:r>
        <w:t xml:space="preserve">Author-stated challenges include the high degree of freedom in selecting architectural hyperparameters—such as layer depth, node counts per layer, non-linearity degrees, and activation functions—which require deep domain expertise and make trial-and-error optimization difficult </w:t>
      </w:r>
      <w:r>
        <w:rPr>
          <w:b/>
          <w:color w:val="0284C7"/>
          <w:sz w:val="19"/>
        </w:rPr>
        <w:t xml:space="preserve"> [6]</w:t>
      </w:r>
      <w:r>
        <w:t>.</w:t>
      </w:r>
    </w:p>
    <w:p>
      <w:pPr>
        <w:spacing w:before="200" w:after="80"/>
      </w:pPr>
      <w:r>
        <w:rPr>
          <w:rFonts w:ascii="Arial" w:hAnsi="Arial"/>
          <w:b/>
          <w:color w:val="1E293B"/>
          <w:sz w:val="22"/>
        </w:rPr>
        <w:t>1. Core Problem &amp; Objective</w:t>
      </w:r>
    </w:p>
    <w:p>
      <w:pPr>
        <w:spacing w:before="40" w:after="120" w:line="276" w:lineRule="auto"/>
      </w:pPr>
      <w:r>
        <w:t xml:space="preserve">The paper addresses the adaptation and optimization of BERT models specifically for the Turkish legal domain, focusing on two downstream tasks: Named Entity Recognition (NER) and multi-label text classification </w:t>
      </w:r>
      <w:r>
        <w:rPr>
          <w:b/>
          <w:color w:val="0284C7"/>
          <w:sz w:val="19"/>
        </w:rPr>
        <w:t xml:space="preserve"> [10, 12]</w:t>
      </w:r>
      <w:r>
        <w:t>.</w:t>
      </w:r>
    </w:p>
    <w:p>
      <w:pPr>
        <w:spacing w:before="200" w:after="80"/>
      </w:pPr>
      <w:r>
        <w:rPr>
          <w:rFonts w:ascii="Arial" w:hAnsi="Arial"/>
          <w:b/>
          <w:color w:val="1E293B"/>
          <w:sz w:val="22"/>
        </w:rPr>
        <w:t>2. Methodology &amp; Architecture</w:t>
      </w:r>
    </w:p>
    <w:p>
      <w:pPr>
        <w:spacing w:before="40" w:after="120" w:line="276" w:lineRule="auto"/>
      </w:pPr>
      <w:r>
        <w:t xml:space="preserve">The authors propose pre-training BERT models from scratch and optimizing them using alternative pre-training strategies </w:t>
      </w:r>
      <w:r>
        <w:rPr>
          <w:b/>
          <w:color w:val="0284C7"/>
          <w:sz w:val="19"/>
        </w:rPr>
        <w:t xml:space="preserve"> [11]</w:t>
      </w:r>
      <w:r>
        <w:t xml:space="preserve">. This includes replacing the Next Sentence Prediction (NSP) task with Sentence Order Prediction (SOP), modifying Masked Language Modeling (MLM) data allocations, and integrating TF-IDF weighting into token selection </w:t>
      </w:r>
      <w:r>
        <w:rPr>
          <w:b/>
          <w:color w:val="0284C7"/>
          <w:sz w:val="19"/>
        </w:rPr>
        <w:t xml:space="preserve"> [11]</w:t>
      </w:r>
      <w:r>
        <w:t>. Models were pre-trained on a 50MB legal corpus (derived from legal theses) and scaled up to 100MB, 500MB, 1GB, and 2GB corpora, comparing against the baseline BERTurk (</w:t>
      </w:r>
      <w:r>
        <w:rPr>
          <w:rFonts w:ascii="Consolas" w:hAnsi="Consolas"/>
          <w:color w:val="0284C7"/>
          <w:sz w:val="19"/>
        </w:rPr>
        <w:t>dbmdz/bert-base-turkish-cased</w:t>
      </w:r>
      <w:r>
        <w:t xml:space="preserve">, pre-trained on a 35GB corpus) </w:t>
      </w:r>
      <w:r>
        <w:rPr>
          <w:b/>
          <w:color w:val="0284C7"/>
          <w:sz w:val="19"/>
        </w:rPr>
        <w:t xml:space="preserve"> [10, 11]</w:t>
      </w:r>
      <w:r>
        <w:t>.</w:t>
      </w:r>
    </w:p>
    <w:p>
      <w:pPr>
        <w:spacing w:before="200" w:after="80"/>
      </w:pPr>
      <w:r>
        <w:rPr>
          <w:rFonts w:ascii="Arial" w:hAnsi="Arial"/>
          <w:b/>
          <w:color w:val="1E293B"/>
          <w:sz w:val="22"/>
        </w:rPr>
        <w:t>3. Experimental Setup &amp; Datasets</w:t>
      </w:r>
    </w:p>
    <w:p>
      <w:pPr>
        <w:spacing w:before="40" w:after="120" w:line="276" w:lineRule="auto"/>
      </w:pPr>
      <w:r>
        <w:t xml:space="preserve">The datasets were split using the Hold-out method: 80% for training, 10% for validation, and 10% for testing </w:t>
      </w:r>
      <w:r>
        <w:rPr>
          <w:b/>
          <w:color w:val="0284C7"/>
          <w:sz w:val="19"/>
        </w:rPr>
        <w:t xml:space="preserve"> [10]</w:t>
      </w:r>
      <w:r>
        <w:t xml:space="preserve">. For fine-tuning, the NER annotated data comprised 501,661 training sentences (614,541 total), and the multi-label classification data comprised 137,955 training sentences (175,279 total) </w:t>
      </w:r>
      <w:r>
        <w:rPr>
          <w:b/>
          <w:color w:val="0284C7"/>
          <w:sz w:val="19"/>
        </w:rPr>
        <w:t xml:space="preserve"> [10]</w:t>
      </w:r>
      <w:r>
        <w:t xml:space="preserve">. Performance is assessed using Precision, Recall, and F-measure </w:t>
      </w:r>
      <w:r>
        <w:rPr>
          <w:b/>
          <w:color w:val="0284C7"/>
          <w:sz w:val="19"/>
        </w:rPr>
        <w:t xml:space="preserve"> [10]</w:t>
      </w:r>
      <w:r>
        <w:t>.</w:t>
      </w:r>
    </w:p>
    <w:p>
      <w:pPr>
        <w:spacing w:before="200" w:after="80"/>
      </w:pPr>
      <w:r>
        <w:rPr>
          <w:rFonts w:ascii="Arial" w:hAnsi="Arial"/>
          <w:b/>
          <w:color w:val="1E293B"/>
          <w:sz w:val="22"/>
        </w:rPr>
        <w:t>4. Key Findings &amp; Reported Metrics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F2942"/>
            <w:tcMar>
              <w:top w:w="120" w:type="dxa"/>
              <w:bottom w:w="120" w:type="dxa"/>
              <w:left w:w="140" w:type="dxa"/>
              <w:right w:w="140" w:type="dxa"/>
            </w:tcMar>
          </w:tcPr>
          <w:p>
            <w:pPr>
              <w:jc w:val="left"/>
            </w:pPr>
            <w:r>
              <w:rPr>
                <w:b/>
                <w:color w:val="FFFFFF"/>
                <w:sz w:val="19"/>
              </w:rPr>
              <w:t>Pre-trained Model Configuration</w:t>
            </w:r>
          </w:p>
        </w:tc>
        <w:tc>
          <w:tcPr>
            <w:tcW w:type="dxa" w:w="1337"/>
            <w:shd w:fill="0F2942"/>
            <w:tcMar>
              <w:top w:w="120" w:type="dxa"/>
              <w:bottom w:w="120" w:type="dxa"/>
              <w:left w:w="140" w:type="dxa"/>
              <w:right w:w="140" w:type="dxa"/>
            </w:tcMar>
          </w:tcPr>
          <w:p>
            <w:pPr>
              <w:jc w:val="left"/>
            </w:pPr>
            <w:r>
              <w:rPr>
                <w:b/>
                <w:color w:val="FFFFFF"/>
                <w:sz w:val="19"/>
              </w:rPr>
              <w:t>Multi-Label Precision</w:t>
            </w:r>
          </w:p>
        </w:tc>
        <w:tc>
          <w:tcPr>
            <w:tcW w:type="dxa" w:w="1337"/>
            <w:shd w:fill="0F2942"/>
            <w:tcMar>
              <w:top w:w="120" w:type="dxa"/>
              <w:bottom w:w="120" w:type="dxa"/>
              <w:left w:w="140" w:type="dxa"/>
              <w:right w:w="140" w:type="dxa"/>
            </w:tcMar>
          </w:tcPr>
          <w:p>
            <w:pPr>
              <w:jc w:val="left"/>
            </w:pPr>
            <w:r>
              <w:rPr>
                <w:b/>
                <w:color w:val="FFFFFF"/>
                <w:sz w:val="19"/>
              </w:rPr>
              <w:t>Multi-Label Recall</w:t>
            </w:r>
          </w:p>
        </w:tc>
        <w:tc>
          <w:tcPr>
            <w:tcW w:type="dxa" w:w="1337"/>
            <w:shd w:fill="0F2942"/>
            <w:tcMar>
              <w:top w:w="120" w:type="dxa"/>
              <w:bottom w:w="120" w:type="dxa"/>
              <w:left w:w="140" w:type="dxa"/>
              <w:right w:w="140" w:type="dxa"/>
            </w:tcMar>
          </w:tcPr>
          <w:p>
            <w:pPr>
              <w:jc w:val="left"/>
            </w:pPr>
            <w:r>
              <w:rPr>
                <w:b/>
                <w:color w:val="FFFFFF"/>
                <w:sz w:val="19"/>
              </w:rPr>
              <w:t>Multi-Label F-measure</w:t>
            </w:r>
          </w:p>
        </w:tc>
        <w:tc>
          <w:tcPr>
            <w:tcW w:type="dxa" w:w="1337"/>
            <w:shd w:fill="0F2942"/>
            <w:tcMar>
              <w:top w:w="120" w:type="dxa"/>
              <w:bottom w:w="120" w:type="dxa"/>
              <w:left w:w="140" w:type="dxa"/>
              <w:right w:w="140" w:type="dxa"/>
            </w:tcMar>
          </w:tcPr>
          <w:p>
            <w:pPr>
              <w:jc w:val="left"/>
            </w:pPr>
            <w:r>
              <w:rPr>
                <w:b/>
                <w:color w:val="FFFFFF"/>
                <w:sz w:val="19"/>
              </w:rPr>
              <w:t>NER Precision</w:t>
            </w:r>
          </w:p>
        </w:tc>
        <w:tc>
          <w:tcPr>
            <w:tcW w:type="dxa" w:w="1337"/>
            <w:shd w:fill="0F2942"/>
            <w:tcMar>
              <w:top w:w="120" w:type="dxa"/>
              <w:bottom w:w="120" w:type="dxa"/>
              <w:left w:w="140" w:type="dxa"/>
              <w:right w:w="140" w:type="dxa"/>
            </w:tcMar>
          </w:tcPr>
          <w:p>
            <w:pPr>
              <w:jc w:val="left"/>
            </w:pPr>
            <w:r>
              <w:rPr>
                <w:b/>
                <w:color w:val="FFFFFF"/>
                <w:sz w:val="19"/>
              </w:rPr>
              <w:t>NER Recall</w:t>
            </w:r>
          </w:p>
        </w:tc>
        <w:tc>
          <w:tcPr>
            <w:tcW w:type="dxa" w:w="1337"/>
            <w:shd w:fill="0F2942"/>
            <w:tcMar>
              <w:top w:w="120" w:type="dxa"/>
              <w:bottom w:w="120" w:type="dxa"/>
              <w:left w:w="140" w:type="dxa"/>
              <w:right w:w="140" w:type="dxa"/>
            </w:tcMar>
          </w:tcPr>
          <w:p>
            <w:pPr>
              <w:jc w:val="left"/>
            </w:pPr>
            <w:r>
              <w:rPr>
                <w:b/>
                <w:color w:val="FFFFFF"/>
                <w:sz w:val="19"/>
              </w:rPr>
              <w:t>NER F-measure</w:t>
            </w:r>
          </w:p>
        </w:tc>
      </w:tr>
      <w:tr>
        <w:tc>
          <w:tcPr>
            <w:tcW w:type="dxa" w:w="1337"/>
            <w:shd w:fill="F8FAFC"/>
            <w:tcMar>
              <w:top w:w="100" w:type="dxa"/>
              <w:bottom w:w="100" w:type="dxa"/>
              <w:left w:w="140" w:type="dxa"/>
              <w:right w:w="140" w:type="dxa"/>
            </w:tcMar>
          </w:tcPr>
          <w:p>
            <w:pPr>
              <w:jc w:val="left"/>
            </w:pPr>
            <w:r>
              <w:rPr>
                <w:b/>
                <w:color w:val="1E293B"/>
                <w:sz w:val="19"/>
              </w:rPr>
              <w:t>Original BERT: NSP_MLM_80_10_10</w:t>
            </w:r>
            <w:r>
              <w:rPr>
                <w:color w:val="1E293B"/>
                <w:sz w:val="19"/>
              </w:rPr>
              <w:t xml:space="preserve"> </w:t>
            </w:r>
            <w:r>
              <w:rPr>
                <w:b/>
                <w:color w:val="1E293B"/>
                <w:sz w:val="19"/>
              </w:rPr>
              <w:t xml:space="preserve"> [11]</w:t>
            </w:r>
          </w:p>
        </w:tc>
        <w:tc>
          <w:tcPr>
            <w:tcW w:type="dxa" w:w="1337"/>
            <w:shd w:fill="F8FAFC"/>
            <w:tcMar>
              <w:top w:w="100" w:type="dxa"/>
              <w:bottom w:w="100" w:type="dxa"/>
              <w:left w:w="140" w:type="dxa"/>
              <w:right w:w="140" w:type="dxa"/>
            </w:tcMar>
          </w:tcPr>
          <w:p>
            <w:pPr>
              <w:jc w:val="left"/>
            </w:pPr>
            <w:r>
              <w:rPr>
                <w:color w:val="1E293B"/>
                <w:sz w:val="19"/>
              </w:rPr>
              <w:t>84.36</w:t>
            </w:r>
          </w:p>
        </w:tc>
        <w:tc>
          <w:tcPr>
            <w:tcW w:type="dxa" w:w="1337"/>
            <w:shd w:fill="F8FAFC"/>
            <w:tcMar>
              <w:top w:w="100" w:type="dxa"/>
              <w:bottom w:w="100" w:type="dxa"/>
              <w:left w:w="140" w:type="dxa"/>
              <w:right w:w="140" w:type="dxa"/>
            </w:tcMar>
          </w:tcPr>
          <w:p>
            <w:pPr>
              <w:jc w:val="left"/>
            </w:pPr>
            <w:r>
              <w:rPr>
                <w:color w:val="1E293B"/>
                <w:sz w:val="19"/>
              </w:rPr>
              <w:t>48.79</w:t>
            </w:r>
          </w:p>
        </w:tc>
        <w:tc>
          <w:tcPr>
            <w:tcW w:type="dxa" w:w="1337"/>
            <w:shd w:fill="F8FAFC"/>
            <w:tcMar>
              <w:top w:w="100" w:type="dxa"/>
              <w:bottom w:w="100" w:type="dxa"/>
              <w:left w:w="140" w:type="dxa"/>
              <w:right w:w="140" w:type="dxa"/>
            </w:tcMar>
          </w:tcPr>
          <w:p>
            <w:pPr>
              <w:jc w:val="left"/>
            </w:pPr>
            <w:r>
              <w:rPr>
                <w:color w:val="1E293B"/>
                <w:sz w:val="19"/>
              </w:rPr>
              <w:t>61.82</w:t>
            </w:r>
          </w:p>
        </w:tc>
        <w:tc>
          <w:tcPr>
            <w:tcW w:type="dxa" w:w="1337"/>
            <w:shd w:fill="F8FAFC"/>
            <w:tcMar>
              <w:top w:w="100" w:type="dxa"/>
              <w:bottom w:w="100" w:type="dxa"/>
              <w:left w:w="140" w:type="dxa"/>
              <w:right w:w="140" w:type="dxa"/>
            </w:tcMar>
          </w:tcPr>
          <w:p>
            <w:pPr>
              <w:jc w:val="left"/>
            </w:pPr>
            <w:r>
              <w:rPr>
                <w:color w:val="1E293B"/>
                <w:sz w:val="19"/>
              </w:rPr>
              <w:t>50.77</w:t>
            </w:r>
          </w:p>
        </w:tc>
        <w:tc>
          <w:tcPr>
            <w:tcW w:type="dxa" w:w="1337"/>
            <w:shd w:fill="F8FAFC"/>
            <w:tcMar>
              <w:top w:w="100" w:type="dxa"/>
              <w:bottom w:w="100" w:type="dxa"/>
              <w:left w:w="140" w:type="dxa"/>
              <w:right w:w="140" w:type="dxa"/>
            </w:tcMar>
          </w:tcPr>
          <w:p>
            <w:pPr>
              <w:jc w:val="left"/>
            </w:pPr>
            <w:r>
              <w:rPr>
                <w:color w:val="1E293B"/>
                <w:sz w:val="19"/>
              </w:rPr>
              <w:t>73.53</w:t>
            </w:r>
          </w:p>
        </w:tc>
        <w:tc>
          <w:tcPr>
            <w:tcW w:type="dxa" w:w="1337"/>
            <w:shd w:fill="F8FAFC"/>
            <w:tcMar>
              <w:top w:w="100" w:type="dxa"/>
              <w:bottom w:w="100" w:type="dxa"/>
              <w:left w:w="140" w:type="dxa"/>
              <w:right w:w="140" w:type="dxa"/>
            </w:tcMar>
          </w:tcPr>
          <w:p>
            <w:pPr>
              <w:jc w:val="left"/>
            </w:pPr>
            <w:r>
              <w:rPr>
                <w:color w:val="1E293B"/>
                <w:sz w:val="19"/>
              </w:rPr>
              <w:t>60.07</w:t>
            </w:r>
          </w:p>
        </w:tc>
      </w:tr>
      <w:tr>
        <w:tc>
          <w:tcPr>
            <w:tcW w:type="dxa" w:w="1337"/>
            <w:shd w:fill="FFFFFF"/>
            <w:tcMar>
              <w:top w:w="100" w:type="dxa"/>
              <w:bottom w:w="100" w:type="dxa"/>
              <w:left w:w="140" w:type="dxa"/>
              <w:right w:w="140" w:type="dxa"/>
            </w:tcMar>
          </w:tcPr>
          <w:p>
            <w:pPr>
              <w:jc w:val="left"/>
            </w:pPr>
            <w:r>
              <w:rPr>
                <w:b/>
                <w:color w:val="1E293B"/>
                <w:sz w:val="19"/>
              </w:rPr>
              <w:t>SOP_MLM_80_10_10</w:t>
            </w:r>
            <w:r>
              <w:rPr>
                <w:color w:val="1E293B"/>
                <w:sz w:val="19"/>
              </w:rPr>
              <w:t xml:space="preserve"> </w:t>
            </w:r>
            <w:r>
              <w:rPr>
                <w:b/>
                <w:color w:val="1E293B"/>
                <w:sz w:val="19"/>
              </w:rPr>
              <w:t xml:space="preserve"> [11]</w:t>
            </w:r>
          </w:p>
        </w:tc>
        <w:tc>
          <w:tcPr>
            <w:tcW w:type="dxa" w:w="1337"/>
            <w:shd w:fill="FFFFFF"/>
            <w:tcMar>
              <w:top w:w="100" w:type="dxa"/>
              <w:bottom w:w="100" w:type="dxa"/>
              <w:left w:w="140" w:type="dxa"/>
              <w:right w:w="140" w:type="dxa"/>
            </w:tcMar>
          </w:tcPr>
          <w:p>
            <w:pPr>
              <w:jc w:val="left"/>
            </w:pPr>
            <w:r>
              <w:rPr>
                <w:color w:val="1E293B"/>
                <w:sz w:val="19"/>
              </w:rPr>
              <w:t>84.93</w:t>
            </w:r>
          </w:p>
        </w:tc>
        <w:tc>
          <w:tcPr>
            <w:tcW w:type="dxa" w:w="1337"/>
            <w:shd w:fill="FFFFFF"/>
            <w:tcMar>
              <w:top w:w="100" w:type="dxa"/>
              <w:bottom w:w="100" w:type="dxa"/>
              <w:left w:w="140" w:type="dxa"/>
              <w:right w:w="140" w:type="dxa"/>
            </w:tcMar>
          </w:tcPr>
          <w:p>
            <w:pPr>
              <w:jc w:val="left"/>
            </w:pPr>
            <w:r>
              <w:rPr>
                <w:color w:val="1E293B"/>
                <w:sz w:val="19"/>
              </w:rPr>
              <w:t>54.71</w:t>
            </w:r>
          </w:p>
        </w:tc>
        <w:tc>
          <w:tcPr>
            <w:tcW w:type="dxa" w:w="1337"/>
            <w:shd w:fill="FFFFFF"/>
            <w:tcMar>
              <w:top w:w="100" w:type="dxa"/>
              <w:bottom w:w="100" w:type="dxa"/>
              <w:left w:w="140" w:type="dxa"/>
              <w:right w:w="140" w:type="dxa"/>
            </w:tcMar>
          </w:tcPr>
          <w:p>
            <w:pPr>
              <w:jc w:val="left"/>
            </w:pPr>
            <w:r>
              <w:rPr>
                <w:color w:val="1E293B"/>
                <w:sz w:val="19"/>
              </w:rPr>
              <w:t>66.55</w:t>
            </w:r>
          </w:p>
        </w:tc>
        <w:tc>
          <w:tcPr>
            <w:tcW w:type="dxa" w:w="1337"/>
            <w:shd w:fill="FFFFFF"/>
            <w:tcMar>
              <w:top w:w="100" w:type="dxa"/>
              <w:bottom w:w="100" w:type="dxa"/>
              <w:left w:w="140" w:type="dxa"/>
              <w:right w:w="140" w:type="dxa"/>
            </w:tcMar>
          </w:tcPr>
          <w:p>
            <w:pPr>
              <w:jc w:val="left"/>
            </w:pPr>
            <w:r>
              <w:rPr>
                <w:color w:val="1E293B"/>
                <w:sz w:val="19"/>
              </w:rPr>
              <w:t>51.22</w:t>
            </w:r>
          </w:p>
        </w:tc>
        <w:tc>
          <w:tcPr>
            <w:tcW w:type="dxa" w:w="1337"/>
            <w:shd w:fill="FFFFFF"/>
            <w:tcMar>
              <w:top w:w="100" w:type="dxa"/>
              <w:bottom w:w="100" w:type="dxa"/>
              <w:left w:w="140" w:type="dxa"/>
              <w:right w:w="140" w:type="dxa"/>
            </w:tcMar>
          </w:tcPr>
          <w:p>
            <w:pPr>
              <w:jc w:val="left"/>
            </w:pPr>
            <w:r>
              <w:rPr>
                <w:color w:val="1E293B"/>
                <w:sz w:val="19"/>
              </w:rPr>
              <w:t>73.93</w:t>
            </w:r>
          </w:p>
        </w:tc>
        <w:tc>
          <w:tcPr>
            <w:tcW w:type="dxa" w:w="1337"/>
            <w:shd w:fill="FFFFFF"/>
            <w:tcMar>
              <w:top w:w="100" w:type="dxa"/>
              <w:bottom w:w="100" w:type="dxa"/>
              <w:left w:w="140" w:type="dxa"/>
              <w:right w:w="140" w:type="dxa"/>
            </w:tcMar>
          </w:tcPr>
          <w:p>
            <w:pPr>
              <w:jc w:val="left"/>
            </w:pPr>
            <w:r>
              <w:rPr>
                <w:color w:val="1E293B"/>
                <w:sz w:val="19"/>
              </w:rPr>
              <w:t>60.51</w:t>
            </w:r>
          </w:p>
        </w:tc>
      </w:tr>
      <w:tr>
        <w:tc>
          <w:tcPr>
            <w:tcW w:type="dxa" w:w="1337"/>
            <w:shd w:fill="F8FAFC"/>
            <w:tcMar>
              <w:top w:w="100" w:type="dxa"/>
              <w:bottom w:w="100" w:type="dxa"/>
              <w:left w:w="140" w:type="dxa"/>
              <w:right w:w="140" w:type="dxa"/>
            </w:tcMar>
          </w:tcPr>
          <w:p>
            <w:pPr>
              <w:jc w:val="left"/>
            </w:pPr>
            <w:r>
              <w:rPr>
                <w:b/>
                <w:color w:val="1E293B"/>
                <w:sz w:val="19"/>
              </w:rPr>
              <w:t>MLM_80_10_10</w:t>
            </w:r>
            <w:r>
              <w:rPr>
                <w:color w:val="1E293B"/>
                <w:sz w:val="19"/>
              </w:rPr>
              <w:t xml:space="preserve"> </w:t>
            </w:r>
            <w:r>
              <w:rPr>
                <w:b/>
                <w:color w:val="1E293B"/>
                <w:sz w:val="19"/>
              </w:rPr>
              <w:t xml:space="preserve"> [11]</w:t>
            </w:r>
          </w:p>
        </w:tc>
        <w:tc>
          <w:tcPr>
            <w:tcW w:type="dxa" w:w="1337"/>
            <w:shd w:fill="F8FAFC"/>
            <w:tcMar>
              <w:top w:w="100" w:type="dxa"/>
              <w:bottom w:w="100" w:type="dxa"/>
              <w:left w:w="140" w:type="dxa"/>
              <w:right w:w="140" w:type="dxa"/>
            </w:tcMar>
          </w:tcPr>
          <w:p>
            <w:pPr>
              <w:jc w:val="left"/>
            </w:pPr>
            <w:r>
              <w:rPr>
                <w:color w:val="1E293B"/>
                <w:sz w:val="19"/>
              </w:rPr>
              <w:t>86.18</w:t>
            </w:r>
          </w:p>
        </w:tc>
        <w:tc>
          <w:tcPr>
            <w:tcW w:type="dxa" w:w="1337"/>
            <w:shd w:fill="F8FAFC"/>
            <w:tcMar>
              <w:top w:w="100" w:type="dxa"/>
              <w:bottom w:w="100" w:type="dxa"/>
              <w:left w:w="140" w:type="dxa"/>
              <w:right w:w="140" w:type="dxa"/>
            </w:tcMar>
          </w:tcPr>
          <w:p>
            <w:pPr>
              <w:jc w:val="left"/>
            </w:pPr>
            <w:r>
              <w:rPr>
                <w:color w:val="1E293B"/>
                <w:sz w:val="19"/>
              </w:rPr>
              <w:t>61.88</w:t>
            </w:r>
          </w:p>
        </w:tc>
        <w:tc>
          <w:tcPr>
            <w:tcW w:type="dxa" w:w="1337"/>
            <w:shd w:fill="F8FAFC"/>
            <w:tcMar>
              <w:top w:w="100" w:type="dxa"/>
              <w:bottom w:w="100" w:type="dxa"/>
              <w:left w:w="140" w:type="dxa"/>
              <w:right w:w="140" w:type="dxa"/>
            </w:tcMar>
          </w:tcPr>
          <w:p>
            <w:pPr>
              <w:jc w:val="left"/>
            </w:pPr>
            <w:r>
              <w:rPr>
                <w:color w:val="1E293B"/>
                <w:sz w:val="19"/>
              </w:rPr>
              <w:t>72.03</w:t>
            </w:r>
          </w:p>
        </w:tc>
        <w:tc>
          <w:tcPr>
            <w:tcW w:type="dxa" w:w="1337"/>
            <w:shd w:fill="F8FAFC"/>
            <w:tcMar>
              <w:top w:w="100" w:type="dxa"/>
              <w:bottom w:w="100" w:type="dxa"/>
              <w:left w:w="140" w:type="dxa"/>
              <w:right w:w="140" w:type="dxa"/>
            </w:tcMar>
          </w:tcPr>
          <w:p>
            <w:pPr>
              <w:jc w:val="left"/>
            </w:pPr>
            <w:r>
              <w:rPr>
                <w:color w:val="1E293B"/>
                <w:sz w:val="19"/>
              </w:rPr>
              <w:t>70.33</w:t>
            </w:r>
          </w:p>
        </w:tc>
        <w:tc>
          <w:tcPr>
            <w:tcW w:type="dxa" w:w="1337"/>
            <w:shd w:fill="F8FAFC"/>
            <w:tcMar>
              <w:top w:w="100" w:type="dxa"/>
              <w:bottom w:w="100" w:type="dxa"/>
              <w:left w:w="140" w:type="dxa"/>
              <w:right w:w="140" w:type="dxa"/>
            </w:tcMar>
          </w:tcPr>
          <w:p>
            <w:pPr>
              <w:jc w:val="left"/>
            </w:pPr>
            <w:r>
              <w:rPr>
                <w:color w:val="1E293B"/>
                <w:sz w:val="19"/>
              </w:rPr>
              <w:t>82.33</w:t>
            </w:r>
          </w:p>
        </w:tc>
        <w:tc>
          <w:tcPr>
            <w:tcW w:type="dxa" w:w="1337"/>
            <w:shd w:fill="F8FAFC"/>
            <w:tcMar>
              <w:top w:w="100" w:type="dxa"/>
              <w:bottom w:w="100" w:type="dxa"/>
              <w:left w:w="140" w:type="dxa"/>
              <w:right w:w="140" w:type="dxa"/>
            </w:tcMar>
          </w:tcPr>
          <w:p>
            <w:pPr>
              <w:jc w:val="left"/>
            </w:pPr>
            <w:r>
              <w:rPr>
                <w:color w:val="1E293B"/>
                <w:sz w:val="19"/>
              </w:rPr>
              <w:t>75.86</w:t>
            </w:r>
          </w:p>
        </w:tc>
      </w:tr>
      <w:tr>
        <w:tc>
          <w:tcPr>
            <w:tcW w:type="dxa" w:w="1337"/>
            <w:shd w:fill="FFFFFF"/>
            <w:tcMar>
              <w:top w:w="100" w:type="dxa"/>
              <w:bottom w:w="100" w:type="dxa"/>
              <w:left w:w="140" w:type="dxa"/>
              <w:right w:w="140" w:type="dxa"/>
            </w:tcMar>
          </w:tcPr>
          <w:p>
            <w:pPr>
              <w:jc w:val="left"/>
            </w:pPr>
            <w:r>
              <w:rPr>
                <w:b/>
                <w:color w:val="1E293B"/>
                <w:sz w:val="19"/>
              </w:rPr>
              <w:t>MLM_80_0_20</w:t>
            </w:r>
            <w:r>
              <w:rPr>
                <w:color w:val="1E293B"/>
                <w:sz w:val="19"/>
              </w:rPr>
              <w:t xml:space="preserve"> </w:t>
            </w:r>
            <w:r>
              <w:rPr>
                <w:b/>
                <w:color w:val="1E293B"/>
                <w:sz w:val="19"/>
              </w:rPr>
              <w:t xml:space="preserve"> [11]</w:t>
            </w:r>
          </w:p>
        </w:tc>
        <w:tc>
          <w:tcPr>
            <w:tcW w:type="dxa" w:w="1337"/>
            <w:shd w:fill="FFFFFF"/>
            <w:tcMar>
              <w:top w:w="100" w:type="dxa"/>
              <w:bottom w:w="100" w:type="dxa"/>
              <w:left w:w="140" w:type="dxa"/>
              <w:right w:w="140" w:type="dxa"/>
            </w:tcMar>
          </w:tcPr>
          <w:p>
            <w:pPr>
              <w:jc w:val="left"/>
            </w:pPr>
            <w:r>
              <w:rPr>
                <w:color w:val="1E293B"/>
                <w:sz w:val="19"/>
              </w:rPr>
              <w:t>86.31</w:t>
            </w:r>
          </w:p>
        </w:tc>
        <w:tc>
          <w:tcPr>
            <w:tcW w:type="dxa" w:w="1337"/>
            <w:shd w:fill="FFFFFF"/>
            <w:tcMar>
              <w:top w:w="100" w:type="dxa"/>
              <w:bottom w:w="100" w:type="dxa"/>
              <w:left w:w="140" w:type="dxa"/>
              <w:right w:w="140" w:type="dxa"/>
            </w:tcMar>
          </w:tcPr>
          <w:p>
            <w:pPr>
              <w:jc w:val="left"/>
            </w:pPr>
            <w:r>
              <w:rPr>
                <w:color w:val="1E293B"/>
                <w:sz w:val="19"/>
              </w:rPr>
              <w:t>60.05</w:t>
            </w:r>
          </w:p>
        </w:tc>
        <w:tc>
          <w:tcPr>
            <w:tcW w:type="dxa" w:w="1337"/>
            <w:shd w:fill="FFFFFF"/>
            <w:tcMar>
              <w:top w:w="100" w:type="dxa"/>
              <w:bottom w:w="100" w:type="dxa"/>
              <w:left w:w="140" w:type="dxa"/>
              <w:right w:w="140" w:type="dxa"/>
            </w:tcMar>
          </w:tcPr>
          <w:p>
            <w:pPr>
              <w:jc w:val="left"/>
            </w:pPr>
            <w:r>
              <w:rPr>
                <w:color w:val="1E293B"/>
                <w:sz w:val="19"/>
              </w:rPr>
              <w:t>70.82</w:t>
            </w:r>
          </w:p>
        </w:tc>
        <w:tc>
          <w:tcPr>
            <w:tcW w:type="dxa" w:w="1337"/>
            <w:shd w:fill="FFFFFF"/>
            <w:tcMar>
              <w:top w:w="100" w:type="dxa"/>
              <w:bottom w:w="100" w:type="dxa"/>
              <w:left w:w="140" w:type="dxa"/>
              <w:right w:w="140" w:type="dxa"/>
            </w:tcMar>
          </w:tcPr>
          <w:p>
            <w:pPr>
              <w:jc w:val="left"/>
            </w:pPr>
            <w:r>
              <w:rPr>
                <w:color w:val="1E293B"/>
                <w:sz w:val="19"/>
              </w:rPr>
              <w:t>71.85</w:t>
            </w:r>
          </w:p>
        </w:tc>
        <w:tc>
          <w:tcPr>
            <w:tcW w:type="dxa" w:w="1337"/>
            <w:shd w:fill="FFFFFF"/>
            <w:tcMar>
              <w:top w:w="100" w:type="dxa"/>
              <w:bottom w:w="100" w:type="dxa"/>
              <w:left w:w="140" w:type="dxa"/>
              <w:right w:w="140" w:type="dxa"/>
            </w:tcMar>
          </w:tcPr>
          <w:p>
            <w:pPr>
              <w:jc w:val="left"/>
            </w:pPr>
            <w:r>
              <w:rPr>
                <w:color w:val="1E293B"/>
                <w:sz w:val="19"/>
              </w:rPr>
              <w:t>83.47</w:t>
            </w:r>
          </w:p>
        </w:tc>
        <w:tc>
          <w:tcPr>
            <w:tcW w:type="dxa" w:w="1337"/>
            <w:shd w:fill="FFFFFF"/>
            <w:tcMar>
              <w:top w:w="100" w:type="dxa"/>
              <w:bottom w:w="100" w:type="dxa"/>
              <w:left w:w="140" w:type="dxa"/>
              <w:right w:w="140" w:type="dxa"/>
            </w:tcMar>
          </w:tcPr>
          <w:p>
            <w:pPr>
              <w:jc w:val="left"/>
            </w:pPr>
            <w:r>
              <w:rPr>
                <w:color w:val="1E293B"/>
                <w:sz w:val="19"/>
              </w:rPr>
              <w:t>77.23</w:t>
            </w:r>
          </w:p>
        </w:tc>
      </w:tr>
      <w:tr>
        <w:tc>
          <w:tcPr>
            <w:tcW w:type="dxa" w:w="1337"/>
            <w:shd w:fill="F8FAFC"/>
            <w:tcMar>
              <w:top w:w="100" w:type="dxa"/>
              <w:bottom w:w="100" w:type="dxa"/>
              <w:left w:w="140" w:type="dxa"/>
              <w:right w:w="140" w:type="dxa"/>
            </w:tcMar>
          </w:tcPr>
          <w:p>
            <w:pPr>
              <w:jc w:val="left"/>
            </w:pPr>
            <w:r>
              <w:rPr>
                <w:b/>
                <w:color w:val="1E293B"/>
                <w:sz w:val="19"/>
              </w:rPr>
              <w:t>MLM_80_(10_TF_IDF)_10</w:t>
            </w:r>
            <w:r>
              <w:rPr>
                <w:color w:val="1E293B"/>
                <w:sz w:val="19"/>
              </w:rPr>
              <w:t xml:space="preserve"> </w:t>
            </w:r>
            <w:r>
              <w:rPr>
                <w:b/>
                <w:color w:val="1E293B"/>
                <w:sz w:val="19"/>
              </w:rPr>
              <w:t xml:space="preserve"> [11]</w:t>
            </w:r>
          </w:p>
        </w:tc>
        <w:tc>
          <w:tcPr>
            <w:tcW w:type="dxa" w:w="1337"/>
            <w:shd w:fill="F8FAFC"/>
            <w:tcMar>
              <w:top w:w="100" w:type="dxa"/>
              <w:bottom w:w="100" w:type="dxa"/>
              <w:left w:w="140" w:type="dxa"/>
              <w:right w:w="140" w:type="dxa"/>
            </w:tcMar>
          </w:tcPr>
          <w:p>
            <w:pPr>
              <w:jc w:val="left"/>
            </w:pPr>
            <w:r>
              <w:rPr>
                <w:color w:val="1E293B"/>
                <w:sz w:val="19"/>
              </w:rPr>
              <w:t>86.59</w:t>
            </w:r>
          </w:p>
        </w:tc>
        <w:tc>
          <w:tcPr>
            <w:tcW w:type="dxa" w:w="1337"/>
            <w:shd w:fill="F8FAFC"/>
            <w:tcMar>
              <w:top w:w="100" w:type="dxa"/>
              <w:bottom w:w="100" w:type="dxa"/>
              <w:left w:w="140" w:type="dxa"/>
              <w:right w:w="140" w:type="dxa"/>
            </w:tcMar>
          </w:tcPr>
          <w:p>
            <w:pPr>
              <w:jc w:val="left"/>
            </w:pPr>
            <w:r>
              <w:rPr>
                <w:color w:val="1E293B"/>
                <w:sz w:val="19"/>
              </w:rPr>
              <w:t>61.75</w:t>
            </w:r>
          </w:p>
        </w:tc>
        <w:tc>
          <w:tcPr>
            <w:tcW w:type="dxa" w:w="1337"/>
            <w:shd w:fill="F8FAFC"/>
            <w:tcMar>
              <w:top w:w="100" w:type="dxa"/>
              <w:bottom w:w="100" w:type="dxa"/>
              <w:left w:w="140" w:type="dxa"/>
              <w:right w:w="140" w:type="dxa"/>
            </w:tcMar>
          </w:tcPr>
          <w:p>
            <w:pPr>
              <w:jc w:val="left"/>
            </w:pPr>
            <w:r>
              <w:rPr>
                <w:color w:val="1E293B"/>
                <w:sz w:val="19"/>
              </w:rPr>
              <w:t>72.09</w:t>
            </w:r>
          </w:p>
        </w:tc>
        <w:tc>
          <w:tcPr>
            <w:tcW w:type="dxa" w:w="1337"/>
            <w:shd w:fill="F8FAFC"/>
            <w:tcMar>
              <w:top w:w="100" w:type="dxa"/>
              <w:bottom w:w="100" w:type="dxa"/>
              <w:left w:w="140" w:type="dxa"/>
              <w:right w:w="140" w:type="dxa"/>
            </w:tcMar>
          </w:tcPr>
          <w:p>
            <w:pPr>
              <w:jc w:val="left"/>
            </w:pPr>
            <w:r>
              <w:rPr>
                <w:color w:val="1E293B"/>
                <w:sz w:val="19"/>
              </w:rPr>
              <w:t>68.73</w:t>
            </w:r>
          </w:p>
        </w:tc>
        <w:tc>
          <w:tcPr>
            <w:tcW w:type="dxa" w:w="1337"/>
            <w:shd w:fill="F8FAFC"/>
            <w:tcMar>
              <w:top w:w="100" w:type="dxa"/>
              <w:bottom w:w="100" w:type="dxa"/>
              <w:left w:w="140" w:type="dxa"/>
              <w:right w:w="140" w:type="dxa"/>
            </w:tcMar>
          </w:tcPr>
          <w:p>
            <w:pPr>
              <w:jc w:val="left"/>
            </w:pPr>
            <w:r>
              <w:rPr>
                <w:color w:val="1E293B"/>
                <w:sz w:val="19"/>
              </w:rPr>
              <w:t>81.62</w:t>
            </w:r>
          </w:p>
        </w:tc>
        <w:tc>
          <w:tcPr>
            <w:tcW w:type="dxa" w:w="1337"/>
            <w:shd w:fill="F8FAFC"/>
            <w:tcMar>
              <w:top w:w="100" w:type="dxa"/>
              <w:bottom w:w="100" w:type="dxa"/>
              <w:left w:w="140" w:type="dxa"/>
              <w:right w:w="140" w:type="dxa"/>
            </w:tcMar>
          </w:tcPr>
          <w:p>
            <w:pPr>
              <w:jc w:val="left"/>
            </w:pPr>
            <w:r>
              <w:rPr>
                <w:color w:val="1E293B"/>
                <w:sz w:val="19"/>
              </w:rPr>
              <w:t>74.62</w:t>
            </w:r>
          </w:p>
        </w:tc>
      </w:tr>
      <w:tr>
        <w:tc>
          <w:tcPr>
            <w:tcW w:type="dxa" w:w="1337"/>
            <w:shd w:fill="FFFFFF"/>
            <w:tcMar>
              <w:top w:w="100" w:type="dxa"/>
              <w:bottom w:w="100" w:type="dxa"/>
              <w:left w:w="140" w:type="dxa"/>
              <w:right w:w="140" w:type="dxa"/>
            </w:tcMar>
          </w:tcPr>
          <w:p>
            <w:pPr>
              <w:jc w:val="left"/>
            </w:pPr>
            <w:r>
              <w:rPr>
                <w:b/>
                <w:color w:val="1E293B"/>
                <w:sz w:val="19"/>
              </w:rPr>
              <w:t>MLM_80_(20_TF_IDF)_0</w:t>
            </w:r>
            <w:r>
              <w:rPr>
                <w:color w:val="1E293B"/>
                <w:sz w:val="19"/>
              </w:rPr>
              <w:t xml:space="preserve"> </w:t>
            </w:r>
            <w:r>
              <w:rPr>
                <w:b/>
                <w:color w:val="1E293B"/>
                <w:sz w:val="19"/>
              </w:rPr>
              <w:t xml:space="preserve"> [11]</w:t>
            </w:r>
          </w:p>
        </w:tc>
        <w:tc>
          <w:tcPr>
            <w:tcW w:type="dxa" w:w="1337"/>
            <w:shd w:fill="FFFFFF"/>
            <w:tcMar>
              <w:top w:w="100" w:type="dxa"/>
              <w:bottom w:w="100" w:type="dxa"/>
              <w:left w:w="140" w:type="dxa"/>
              <w:right w:w="140" w:type="dxa"/>
            </w:tcMar>
          </w:tcPr>
          <w:p>
            <w:pPr>
              <w:jc w:val="left"/>
            </w:pPr>
            <w:r>
              <w:rPr>
                <w:color w:val="1E293B"/>
                <w:sz w:val="19"/>
              </w:rPr>
              <w:t>86.61</w:t>
            </w:r>
          </w:p>
        </w:tc>
        <w:tc>
          <w:tcPr>
            <w:tcW w:type="dxa" w:w="1337"/>
            <w:shd w:fill="FFFFFF"/>
            <w:tcMar>
              <w:top w:w="100" w:type="dxa"/>
              <w:bottom w:w="100" w:type="dxa"/>
              <w:left w:w="140" w:type="dxa"/>
              <w:right w:w="140" w:type="dxa"/>
            </w:tcMar>
          </w:tcPr>
          <w:p>
            <w:pPr>
              <w:jc w:val="left"/>
            </w:pPr>
            <w:r>
              <w:rPr>
                <w:color w:val="1E293B"/>
                <w:sz w:val="19"/>
              </w:rPr>
              <w:t>61.83</w:t>
            </w:r>
          </w:p>
        </w:tc>
        <w:tc>
          <w:tcPr>
            <w:tcW w:type="dxa" w:w="1337"/>
            <w:shd w:fill="FFFFFF"/>
            <w:tcMar>
              <w:top w:w="100" w:type="dxa"/>
              <w:bottom w:w="100" w:type="dxa"/>
              <w:left w:w="140" w:type="dxa"/>
              <w:right w:w="140" w:type="dxa"/>
            </w:tcMar>
          </w:tcPr>
          <w:p>
            <w:pPr>
              <w:jc w:val="left"/>
            </w:pPr>
            <w:r>
              <w:rPr>
                <w:color w:val="1E293B"/>
                <w:sz w:val="19"/>
              </w:rPr>
              <w:t>72.15</w:t>
            </w:r>
          </w:p>
        </w:tc>
        <w:tc>
          <w:tcPr>
            <w:tcW w:type="dxa" w:w="1337"/>
            <w:shd w:fill="FFFFFF"/>
            <w:tcMar>
              <w:top w:w="100" w:type="dxa"/>
              <w:bottom w:w="100" w:type="dxa"/>
              <w:left w:w="140" w:type="dxa"/>
              <w:right w:w="140" w:type="dxa"/>
            </w:tcMar>
          </w:tcPr>
          <w:p>
            <w:pPr>
              <w:jc w:val="left"/>
            </w:pPr>
            <w:r>
              <w:rPr>
                <w:color w:val="1E293B"/>
                <w:sz w:val="19"/>
              </w:rPr>
              <w:t>67.53</w:t>
            </w:r>
          </w:p>
        </w:tc>
        <w:tc>
          <w:tcPr>
            <w:tcW w:type="dxa" w:w="1337"/>
            <w:shd w:fill="FFFFFF"/>
            <w:tcMar>
              <w:top w:w="100" w:type="dxa"/>
              <w:bottom w:w="100" w:type="dxa"/>
              <w:left w:w="140" w:type="dxa"/>
              <w:right w:w="140" w:type="dxa"/>
            </w:tcMar>
          </w:tcPr>
          <w:p>
            <w:pPr>
              <w:jc w:val="left"/>
            </w:pPr>
            <w:r>
              <w:rPr>
                <w:color w:val="1E293B"/>
                <w:sz w:val="19"/>
              </w:rPr>
              <w:t>81.15</w:t>
            </w:r>
          </w:p>
        </w:tc>
        <w:tc>
          <w:tcPr>
            <w:tcW w:type="dxa" w:w="1337"/>
            <w:shd w:fill="FFFFFF"/>
            <w:tcMar>
              <w:top w:w="100" w:type="dxa"/>
              <w:bottom w:w="100" w:type="dxa"/>
              <w:left w:w="140" w:type="dxa"/>
              <w:right w:w="140" w:type="dxa"/>
            </w:tcMar>
          </w:tcPr>
          <w:p>
            <w:pPr>
              <w:jc w:val="left"/>
            </w:pPr>
            <w:r>
              <w:rPr>
                <w:color w:val="1E293B"/>
                <w:sz w:val="19"/>
              </w:rPr>
              <w:t>73.72</w:t>
            </w:r>
          </w:p>
        </w:tc>
      </w:tr>
    </w:tbl>
    <w:p>
      <w:pPr>
        <w:spacing w:after="120"/>
      </w:pPr>
    </w:p>
    <w:p>
      <w:pPr>
        <w:spacing w:before="40" w:after="120" w:line="276" w:lineRule="auto"/>
      </w:pPr>
      <w:r>
        <w:rPr>
          <w:i/>
        </w:rPr>
        <w:t>Note: Values represent percentage scores (%) for Precision, Recall, and F-measure across multi-label text classification and NER tasks [11]. Replacing NSP with SOP improved overall performance, and incorporating TF-IDF weighting into MLM further enhanced multi-label classification F-measures up to 72.15% [11].</w:t>
      </w:r>
    </w:p>
    <w:p>
      <w:pPr>
        <w:spacing w:before="200" w:after="80"/>
      </w:pPr>
      <w:r>
        <w:rPr>
          <w:rFonts w:ascii="Arial" w:hAnsi="Arial"/>
          <w:b/>
          <w:color w:val="1E293B"/>
          <w:sz w:val="22"/>
        </w:rPr>
        <w:t>5. Limitations &amp; Open Questions</w:t>
      </w:r>
    </w:p>
    <w:p>
      <w:pPr>
        <w:spacing w:before="40" w:after="120" w:line="276" w:lineRule="auto"/>
      </w:pPr>
      <w:r>
        <w:t xml:space="preserve">Author-stated limitations include the use of publicly available legal domain theses rather than actual files from legal professionals, limiting corpus representativeness </w:t>
      </w:r>
      <w:r>
        <w:rPr>
          <w:b/>
          <w:color w:val="0284C7"/>
          <w:sz w:val="19"/>
        </w:rPr>
        <w:t xml:space="preserve"> [12]</w:t>
      </w:r>
      <w:r>
        <w:t xml:space="preserve">. The scope was restricted to legal Turkish text and two downstream tasks executed for only a single training epoch </w:t>
      </w:r>
      <w:r>
        <w:rPr>
          <w:b/>
          <w:color w:val="0284C7"/>
          <w:sz w:val="19"/>
        </w:rPr>
        <w:t xml:space="preserve"> [12]</w:t>
      </w:r>
      <w:r>
        <w:t xml:space="preserve">. Future directions include expanding to multilingual corpora, exploring question answering and binary classification, executing multi-epoch training, and adapting TF-IDF token enhancements to a whole-word level </w:t>
      </w:r>
      <w:r>
        <w:rPr>
          <w:b/>
          <w:color w:val="0284C7"/>
          <w:sz w:val="19"/>
        </w:rPr>
        <w:t xml:space="preserve"> [12]</w:t>
      </w:r>
      <w:r>
        <w:t>.</w:t>
      </w:r>
    </w:p>
    <w:p>
      <w:pPr>
        <w:spacing w:before="200" w:after="80"/>
      </w:pPr>
      <w:r>
        <w:rPr>
          <w:rFonts w:ascii="Arial" w:hAnsi="Arial"/>
          <w:b/>
          <w:color w:val="1E293B"/>
          <w:sz w:val="22"/>
        </w:rPr>
        <w:t>1. Core Problem &amp; Objective</w:t>
      </w:r>
    </w:p>
    <w:p>
      <w:pPr>
        <w:spacing w:before="40" w:after="120" w:line="276" w:lineRule="auto"/>
      </w:pPr>
      <w:r>
        <w:t xml:space="preserve">The article investigates the average dimension of 2-Selmer groups of elliptic curves over multiquadratic extensions </w:t>
      </w:r>
      <w:r>
        <w:rPr>
          <w:rFonts w:ascii="Cambria Math" w:hAnsi="Cambria Math"/>
          <w:i/>
          <w:color w:val="0F2942"/>
        </w:rPr>
        <w:t xml:space="preserve"> K/mathbbQ </w:t>
      </w:r>
      <w:r>
        <w:t xml:space="preserve"> (nontrivial finite Galois extensions with elementary abelian 2-groups as Galois groups) </w:t>
      </w:r>
      <w:r>
        <w:rPr>
          <w:b/>
          <w:color w:val="0284C7"/>
          <w:sz w:val="19"/>
        </w:rPr>
        <w:t xml:space="preserve"> [13]</w:t>
      </w:r>
      <w:r>
        <w:t xml:space="preserve">. The objective is to establish robust upper bounds for </w:t>
      </w:r>
      <w:r>
        <w:rPr>
          <w:rFonts w:ascii="Cambria Math" w:hAnsi="Cambria Math"/>
          <w:i/>
          <w:color w:val="0F2942"/>
        </w:rPr>
        <w:t xml:space="preserve"> limsup_Xto∞ A(K; X) </w:t>
      </w:r>
      <w:r>
        <w:t xml:space="preserve"> and positive lower bounds for </w:t>
      </w:r>
      <w:r>
        <w:rPr>
          <w:rFonts w:ascii="Cambria Math" w:hAnsi="Cambria Math"/>
          <w:i/>
          <w:color w:val="0F2942"/>
        </w:rPr>
        <w:t xml:space="preserve"> liminf_Xto∞ A(K; X) </w:t>
      </w:r>
      <w:r>
        <w:t xml:space="preserve"> across the family of elliptic curves ordered by height </w:t>
      </w:r>
      <w:r>
        <w:rPr>
          <w:b/>
          <w:color w:val="0284C7"/>
          <w:sz w:val="19"/>
        </w:rPr>
        <w:t xml:space="preserve"> [13, 16]</w:t>
      </w:r>
      <w:r>
        <w:t>.</w:t>
      </w:r>
    </w:p>
    <w:p>
      <w:pPr>
        <w:spacing w:before="200" w:after="80"/>
      </w:pPr>
      <w:r>
        <w:rPr>
          <w:rFonts w:ascii="Arial" w:hAnsi="Arial"/>
          <w:b/>
          <w:color w:val="1E293B"/>
          <w:sz w:val="22"/>
        </w:rPr>
        <w:t>2. Methodology &amp; Architecture</w:t>
      </w:r>
    </w:p>
    <w:p>
      <w:pPr>
        <w:spacing w:before="40" w:after="120" w:line="276" w:lineRule="auto"/>
      </w:pPr>
      <w:r>
        <w:t xml:space="preserve">The study analyzes the genus theory invariant for 2-Selmer groups over multiquadratic extensions to bound and determine its average </w:t>
      </w:r>
      <w:r>
        <w:rPr>
          <w:b/>
          <w:color w:val="0284C7"/>
          <w:sz w:val="19"/>
        </w:rPr>
        <w:t xml:space="preserve"> [16]</w:t>
      </w:r>
      <w:r>
        <w:t xml:space="preserve">. It applies a variant of the Ekedahl sieve for local sums, converting the average of the genus theory invariant into a sum of </w:t>
      </w:r>
      <w:r>
        <w:rPr>
          <w:rFonts w:ascii="Cambria Math" w:hAnsi="Cambria Math"/>
          <w:i/>
          <w:color w:val="0F2942"/>
        </w:rPr>
        <w:t xml:space="preserve"> p </w:t>
      </w:r>
      <w:r>
        <w:t xml:space="preserve">-adic integrals of local norm indices </w:t>
      </w:r>
      <w:r>
        <w:rPr>
          <w:b/>
          <w:color w:val="0284C7"/>
          <w:sz w:val="19"/>
        </w:rPr>
        <w:t xml:space="preserve"> [17]</w:t>
      </w:r>
      <w:r>
        <w:t xml:space="preserve">. Appendix B details the systematic application of Tate's Algorithm to minimal models of elliptic curves over local fields to determine reduction types and Tamagawa numbers </w:t>
      </w:r>
      <w:r>
        <w:rPr>
          <w:b/>
          <w:color w:val="0284C7"/>
          <w:sz w:val="19"/>
        </w:rPr>
        <w:t xml:space="preserve"> [14, 15]</w:t>
      </w:r>
      <w:r>
        <w:t>.</w:t>
      </w:r>
    </w:p>
    <w:p>
      <w:pPr>
        <w:spacing w:before="200" w:after="80"/>
      </w:pPr>
      <w:r>
        <w:rPr>
          <w:rFonts w:ascii="Arial" w:hAnsi="Arial"/>
          <w:b/>
          <w:color w:val="1E293B"/>
          <w:sz w:val="22"/>
        </w:rPr>
        <w:t>3. Experimental Setup &amp; Datasets</w:t>
      </w:r>
    </w:p>
    <w:p>
      <w:pPr>
        <w:spacing w:before="40" w:after="120" w:line="276" w:lineRule="auto"/>
      </w:pPr>
      <w:r>
        <w:t xml:space="preserve">Being a pure mathematics and number theory study, it utilizes theoretical proofs, asymptotic limits as height </w:t>
      </w:r>
      <w:r>
        <w:rPr>
          <w:rFonts w:ascii="Cambria Math" w:hAnsi="Cambria Math"/>
          <w:i/>
          <w:color w:val="0F2942"/>
        </w:rPr>
        <w:t xml:space="preserve"> X to ∞ </w:t>
      </w:r>
      <w:r>
        <w:t xml:space="preserve">, and local </w:t>
      </w:r>
      <w:r>
        <w:rPr>
          <w:rFonts w:ascii="Cambria Math" w:hAnsi="Cambria Math"/>
          <w:i/>
          <w:color w:val="0F2942"/>
        </w:rPr>
        <w:t xml:space="preserve"> p </w:t>
      </w:r>
      <w:r>
        <w:t xml:space="preserve">-adic integral computations rather than empirical machine learning datasets </w:t>
      </w:r>
      <w:r>
        <w:rPr>
          <w:b/>
          <w:color w:val="0284C7"/>
          <w:sz w:val="19"/>
        </w:rPr>
        <w:t xml:space="preserve"> [13, 17]</w:t>
      </w:r>
      <w:r>
        <w:t>.</w:t>
      </w:r>
    </w:p>
    <w:p>
      <w:pPr>
        <w:spacing w:before="200" w:after="80"/>
      </w:pPr>
      <w:r>
        <w:rPr>
          <w:rFonts w:ascii="Arial" w:hAnsi="Arial"/>
          <w:b/>
          <w:color w:val="1E293B"/>
          <w:sz w:val="22"/>
        </w:rPr>
        <w:t>4. Key Findings &amp; Reported Metrics</w:t>
      </w:r>
    </w:p>
    <w:p>
      <w:pPr>
        <w:spacing w:before="40" w:after="120" w:line="276" w:lineRule="auto"/>
      </w:pPr>
      <w:r>
        <w:t xml:space="preserve">The paper proves stronger upper bounds for upper limits </w:t>
      </w:r>
      <w:r>
        <w:rPr>
          <w:rFonts w:ascii="Cambria Math" w:hAnsi="Cambria Math"/>
          <w:i/>
          <w:color w:val="0F2942"/>
        </w:rPr>
        <w:t xml:space="preserve"> A^+(K) </w:t>
      </w:r>
      <w:r>
        <w:t xml:space="preserve"> and positive lower bounds for lower limits </w:t>
      </w:r>
      <w:r>
        <w:rPr>
          <w:rFonts w:ascii="Cambria Math" w:hAnsi="Cambria Math"/>
          <w:i/>
          <w:color w:val="0F2942"/>
        </w:rPr>
        <w:t xml:space="preserve"> A^-(K) </w:t>
      </w:r>
      <w:r>
        <w:t xml:space="preserve"> in multiquadratic extensions, demonstrating that in the case of quadratic fields, these bounds are frequently very close </w:t>
      </w:r>
      <w:r>
        <w:rPr>
          <w:b/>
          <w:color w:val="0284C7"/>
          <w:sz w:val="19"/>
        </w:rPr>
        <w:t xml:space="preserve"> [13]</w:t>
      </w:r>
      <w:r>
        <w:t xml:space="preserve">. This extends prior breakthrough bounds by Bhargava–Shankar (which established </w:t>
      </w:r>
      <w:r>
        <w:rPr>
          <w:rFonts w:ascii="Cambria Math" w:hAnsi="Cambria Math"/>
          <w:i/>
          <w:color w:val="0F2942"/>
        </w:rPr>
        <w:t xml:space="preserve"> A^+(mathbbQ) le 1.5 </w:t>
      </w:r>
      <w:r>
        <w:t xml:space="preserve">) to broader multiquadratic fields </w:t>
      </w:r>
      <w:r>
        <w:rPr>
          <w:b/>
          <w:color w:val="0284C7"/>
          <w:sz w:val="19"/>
        </w:rPr>
        <w:t xml:space="preserve"> [13]</w:t>
      </w:r>
      <w:r>
        <w:t>.</w:t>
      </w:r>
    </w:p>
    <w:p>
      <w:pPr>
        <w:spacing w:before="200" w:after="80"/>
      </w:pPr>
      <w:r>
        <w:rPr>
          <w:rFonts w:ascii="Arial" w:hAnsi="Arial"/>
          <w:b/>
          <w:color w:val="1E293B"/>
          <w:sz w:val="22"/>
        </w:rPr>
        <w:t>5. Limitations &amp; Open Questions</w:t>
      </w:r>
    </w:p>
    <w:p>
      <w:pPr>
        <w:spacing w:before="40" w:after="120" w:line="276" w:lineRule="auto"/>
      </w:pPr>
      <w:r>
        <w:t xml:space="preserve">The verified text does not explicitly detail author-stated failure modes or limitations, though the methodology relies heavily on the machinery of Ekedahl-type sieves and local norm index computations which require careful algebraic handling per extension type </w:t>
      </w:r>
      <w:r>
        <w:rPr>
          <w:b/>
          <w:color w:val="0284C7"/>
          <w:sz w:val="19"/>
        </w:rPr>
        <w:t xml:space="preserve"> [17]</w:t>
      </w:r>
      <w:r>
        <w:t>.</w:t>
      </w:r>
    </w:p>
    <w:p>
      <w:pPr>
        <w:spacing w:before="200" w:after="80"/>
      </w:pPr>
      <w:r>
        <w:rPr>
          <w:rFonts w:ascii="Arial" w:hAnsi="Arial"/>
          <w:b/>
          <w:color w:val="1E293B"/>
          <w:sz w:val="22"/>
        </w:rPr>
        <w:t>1. Core Problem &amp; Objective</w:t>
      </w:r>
    </w:p>
    <w:p>
      <w:pPr>
        <w:spacing w:before="40" w:after="120" w:line="276" w:lineRule="auto"/>
      </w:pPr>
      <w:r>
        <w:t xml:space="preserve">The paper addresses the computational bottlenecks and expressiveness trade-offs in long-context transformer attention mechanisms by combining sparse token selection with gating dynamics </w:t>
      </w:r>
      <w:r>
        <w:rPr>
          <w:b/>
          <w:color w:val="0284C7"/>
          <w:sz w:val="19"/>
        </w:rPr>
        <w:t xml:space="preserve"> [20]</w:t>
      </w:r>
      <w:r>
        <w:t>.</w:t>
      </w:r>
    </w:p>
    <w:p>
      <w:pPr>
        <w:spacing w:before="200" w:after="80"/>
      </w:pPr>
      <w:r>
        <w:rPr>
          <w:rFonts w:ascii="Arial" w:hAnsi="Arial"/>
          <w:b/>
          <w:color w:val="1E293B"/>
          <w:sz w:val="22"/>
        </w:rPr>
        <w:t>2. Methodology &amp; Architecture</w:t>
      </w:r>
    </w:p>
    <w:p>
      <w:pPr>
        <w:spacing w:before="40" w:after="120" w:line="276" w:lineRule="auto"/>
      </w:pPr>
      <w:r>
        <w:t xml:space="preserve">The proposed Gated Sparse Attention (GSA) architecture relies on three core components: (i) a gated lightning indexer that replaces ReLU scoring with sigmoid units yielding probabilistic, gradient-smooth importance scores in </w:t>
      </w:r>
      <w:r>
        <w:rPr>
          <w:rFonts w:ascii="Cambria Math" w:hAnsi="Cambria Math"/>
          <w:i/>
          <w:color w:val="0F2942"/>
        </w:rPr>
        <w:t xml:space="preserve"> (0, H_I) </w:t>
      </w:r>
      <w:r>
        <w:t xml:space="preserve">; (ii) an adaptive sparsity controller that modulates the selection budget </w:t>
      </w:r>
      <w:r>
        <w:rPr>
          <w:rFonts w:ascii="Cambria Math" w:hAnsi="Cambria Math"/>
          <w:i/>
          <w:color w:val="0F2942"/>
        </w:rPr>
        <w:t xml:space="preserve"> k_t </w:t>
      </w:r>
      <w:r>
        <w:t xml:space="preserve"> based on score variance (aggressive pruning for high confidence, broader context for ambiguity); and (iii) dual gating applied to values before aggregation (</w:t>
      </w:r>
      <w:r>
        <w:rPr>
          <w:rFonts w:ascii="Cambria Math" w:hAnsi="Cambria Math"/>
          <w:i/>
          <w:color w:val="0F2942"/>
        </w:rPr>
        <w:t xml:space="preserve"> G_2 </w:t>
      </w:r>
      <w:r>
        <w:t>) and outputs after scaled dot-product attention (</w:t>
      </w:r>
      <w:r>
        <w:rPr>
          <w:rFonts w:ascii="Cambria Math" w:hAnsi="Cambria Math"/>
          <w:i/>
          <w:color w:val="0F2942"/>
        </w:rPr>
        <w:t xml:space="preserve"> G_1 </w:t>
      </w:r>
      <w:r>
        <w:t xml:space="preserve">) to break the rank bottleneck without requiring sink tokens </w:t>
      </w:r>
      <w:r>
        <w:rPr>
          <w:b/>
          <w:color w:val="0284C7"/>
          <w:sz w:val="19"/>
        </w:rPr>
        <w:t xml:space="preserve"> [20]</w:t>
      </w:r>
      <w:r>
        <w:t>.</w:t>
      </w:r>
    </w:p>
    <w:p>
      <w:pPr>
        <w:spacing w:before="200" w:after="80"/>
      </w:pPr>
      <w:r>
        <w:rPr>
          <w:rFonts w:ascii="Arial" w:hAnsi="Arial"/>
          <w:b/>
          <w:color w:val="1E293B"/>
          <w:sz w:val="22"/>
        </w:rPr>
        <w:t>3. Experimental Setup &amp; Datasets</w:t>
      </w:r>
    </w:p>
    <w:p>
      <w:pPr>
        <w:spacing w:before="40" w:after="120" w:line="276" w:lineRule="auto"/>
      </w:pPr>
      <w:r>
        <w:t xml:space="preserve">Models with 1.7B parameters were trained from scratch on 400B tokens from SlimPajama using 24 layers, hidden dimension 2048, 16 query heads, 4 key-value heads, and SwiGLU feed-forward blocks </w:t>
      </w:r>
      <w:r>
        <w:rPr>
          <w:b/>
          <w:color w:val="0284C7"/>
          <w:sz w:val="19"/>
        </w:rPr>
        <w:t xml:space="preserve"> [18]</w:t>
      </w:r>
      <w:r>
        <w:t xml:space="preserve">. Evaluations utilized WikiText-103 and C4 for language modeling perplexity, five downstream benchmark tasks (including MMLU and GSM8K), and long-context evaluations extending up to 128K context windows via YaRN positional interpolation on </w:t>
      </w:r>
      <w:r>
        <w:rPr>
          <w:rFonts w:ascii="Cambria Math" w:hAnsi="Cambria Math"/>
          <w:i/>
          <w:color w:val="0F2942"/>
        </w:rPr>
        <w:t xml:space="preserve"> 8  ×  </w:t>
      </w:r>
      <w:r>
        <w:t xml:space="preserve"> H100 GPUs </w:t>
      </w:r>
      <w:r>
        <w:rPr>
          <w:b/>
          <w:color w:val="0284C7"/>
          <w:sz w:val="19"/>
        </w:rPr>
        <w:t xml:space="preserve"> [18]</w:t>
      </w:r>
      <w:r>
        <w:t>.</w:t>
      </w:r>
    </w:p>
    <w:p>
      <w:pPr>
        <w:spacing w:before="200" w:after="80"/>
      </w:pPr>
      <w:r>
        <w:rPr>
          <w:rFonts w:ascii="Arial" w:hAnsi="Arial"/>
          <w:b/>
          <w:color w:val="1E293B"/>
          <w:sz w:val="22"/>
        </w:rPr>
        <w:t>4. Key Findings &amp; Reported Metrics</w:t>
      </w:r>
    </w:p>
    <w:tbl>
      <w:tblPr>
        <w:tblW w:type="auto" w:w="0"/>
        <w:jc w:val="center"/>
        <w:tblLook w:firstColumn="1" w:firstRow="1" w:lastColumn="0" w:lastRow="0" w:noHBand="0" w:noVBand="1" w:val="04A0"/>
      </w:tblPr>
      <w:tblGrid>
        <w:gridCol w:w="3120"/>
        <w:gridCol w:w="3120"/>
        <w:gridCol w:w="3120"/>
      </w:tblGrid>
      <w:tr>
        <w:tc>
          <w:tcPr>
            <w:tcW w:type="dxa" w:w="3120"/>
            <w:shd w:fill="0F2942"/>
            <w:tcMar>
              <w:top w:w="120" w:type="dxa"/>
              <w:bottom w:w="120" w:type="dxa"/>
              <w:left w:w="140" w:type="dxa"/>
              <w:right w:w="140" w:type="dxa"/>
            </w:tcMar>
          </w:tcPr>
          <w:p>
            <w:pPr>
              <w:jc w:val="left"/>
            </w:pPr>
            <w:r>
              <w:rPr>
                <w:b/>
                <w:color w:val="FFFFFF"/>
                <w:sz w:val="19"/>
              </w:rPr>
              <w:t>Model Configuration</w:t>
            </w:r>
          </w:p>
        </w:tc>
        <w:tc>
          <w:tcPr>
            <w:tcW w:type="dxa" w:w="3120"/>
            <w:shd w:fill="0F2942"/>
            <w:tcMar>
              <w:top w:w="120" w:type="dxa"/>
              <w:bottom w:w="120" w:type="dxa"/>
              <w:left w:w="140" w:type="dxa"/>
              <w:right w:w="140" w:type="dxa"/>
            </w:tcMar>
          </w:tcPr>
          <w:p>
            <w:pPr>
              <w:jc w:val="left"/>
            </w:pPr>
            <w:r>
              <w:rPr>
                <w:b/>
                <w:color w:val="FFFFFF"/>
                <w:sz w:val="19"/>
              </w:rPr>
              <w:t>WikiText-103 Perplexity (Lower is Better)</w:t>
            </w:r>
          </w:p>
        </w:tc>
        <w:tc>
          <w:tcPr>
            <w:tcW w:type="dxa" w:w="3120"/>
            <w:shd w:fill="0F2942"/>
            <w:tcMar>
              <w:top w:w="120" w:type="dxa"/>
              <w:bottom w:w="120" w:type="dxa"/>
              <w:left w:w="140" w:type="dxa"/>
              <w:right w:w="140" w:type="dxa"/>
            </w:tcMar>
          </w:tcPr>
          <w:p>
            <w:pPr>
              <w:jc w:val="left"/>
            </w:pPr>
            <w:r>
              <w:rPr>
                <w:b/>
                <w:color w:val="FFFFFF"/>
                <w:sz w:val="19"/>
              </w:rPr>
              <w:t>C4 Perplexity (Lower is Better)</w:t>
            </w:r>
          </w:p>
        </w:tc>
      </w:tr>
      <w:tr>
        <w:tc>
          <w:tcPr>
            <w:tcW w:type="dxa" w:w="3120"/>
            <w:shd w:fill="F8FAFC"/>
            <w:tcMar>
              <w:top w:w="100" w:type="dxa"/>
              <w:bottom w:w="100" w:type="dxa"/>
              <w:left w:w="140" w:type="dxa"/>
              <w:right w:w="140" w:type="dxa"/>
            </w:tcMar>
          </w:tcPr>
          <w:p>
            <w:pPr>
              <w:jc w:val="left"/>
            </w:pPr>
            <w:r>
              <w:rPr>
                <w:b/>
                <w:color w:val="1E293B"/>
                <w:sz w:val="19"/>
              </w:rPr>
              <w:t>Standard</w:t>
            </w:r>
            <w:r>
              <w:rPr>
                <w:color w:val="1E293B"/>
                <w:sz w:val="19"/>
              </w:rPr>
              <w:t xml:space="preserve"> </w:t>
            </w:r>
            <w:r>
              <w:rPr>
                <w:b/>
                <w:color w:val="1E293B"/>
                <w:sz w:val="19"/>
              </w:rPr>
              <w:t xml:space="preserve"> [18]</w:t>
            </w:r>
          </w:p>
        </w:tc>
        <w:tc>
          <w:tcPr>
            <w:tcW w:type="dxa" w:w="3120"/>
            <w:shd w:fill="F8FAFC"/>
            <w:tcMar>
              <w:top w:w="100" w:type="dxa"/>
              <w:bottom w:w="100" w:type="dxa"/>
              <w:left w:w="140" w:type="dxa"/>
              <w:right w:w="140" w:type="dxa"/>
            </w:tcMar>
          </w:tcPr>
          <w:p>
            <w:pPr>
              <w:jc w:val="left"/>
            </w:pPr>
            <w:r>
              <w:rPr>
                <w:color w:val="1E293B"/>
                <w:sz w:val="19"/>
              </w:rPr>
              <w:t>6.03</w:t>
            </w:r>
          </w:p>
        </w:tc>
        <w:tc>
          <w:tcPr>
            <w:tcW w:type="dxa" w:w="3120"/>
            <w:shd w:fill="F8FAFC"/>
            <w:tcMar>
              <w:top w:w="100" w:type="dxa"/>
              <w:bottom w:w="100" w:type="dxa"/>
              <w:left w:w="140" w:type="dxa"/>
              <w:right w:w="140" w:type="dxa"/>
            </w:tcMar>
          </w:tcPr>
          <w:p>
            <w:pPr>
              <w:jc w:val="left"/>
            </w:pPr>
            <w:r>
              <w:rPr>
                <w:color w:val="1E293B"/>
                <w:sz w:val="19"/>
              </w:rPr>
              <w:t>7.82</w:t>
            </w:r>
          </w:p>
        </w:tc>
      </w:tr>
      <w:tr>
        <w:tc>
          <w:tcPr>
            <w:tcW w:type="dxa" w:w="3120"/>
            <w:shd w:fill="FFFFFF"/>
            <w:tcMar>
              <w:top w:w="100" w:type="dxa"/>
              <w:bottom w:w="100" w:type="dxa"/>
              <w:left w:w="140" w:type="dxa"/>
              <w:right w:w="140" w:type="dxa"/>
            </w:tcMar>
          </w:tcPr>
          <w:p>
            <w:pPr>
              <w:jc w:val="left"/>
            </w:pPr>
            <w:r>
              <w:rPr>
                <w:b/>
                <w:color w:val="1E293B"/>
                <w:sz w:val="19"/>
              </w:rPr>
              <w:t>Sparse only</w:t>
            </w:r>
            <w:r>
              <w:rPr>
                <w:color w:val="1E293B"/>
                <w:sz w:val="19"/>
              </w:rPr>
              <w:t xml:space="preserve"> </w:t>
            </w:r>
            <w:r>
              <w:rPr>
                <w:b/>
                <w:color w:val="1E293B"/>
                <w:sz w:val="19"/>
              </w:rPr>
              <w:t xml:space="preserve"> [18]</w:t>
            </w:r>
          </w:p>
        </w:tc>
        <w:tc>
          <w:tcPr>
            <w:tcW w:type="dxa" w:w="3120"/>
            <w:shd w:fill="FFFFFF"/>
            <w:tcMar>
              <w:top w:w="100" w:type="dxa"/>
              <w:bottom w:w="100" w:type="dxa"/>
              <w:left w:w="140" w:type="dxa"/>
              <w:right w:w="140" w:type="dxa"/>
            </w:tcMar>
          </w:tcPr>
          <w:p>
            <w:pPr>
              <w:jc w:val="left"/>
            </w:pPr>
            <w:r>
              <w:rPr>
                <w:color w:val="1E293B"/>
                <w:sz w:val="19"/>
              </w:rPr>
              <w:t>6.02</w:t>
            </w:r>
          </w:p>
        </w:tc>
        <w:tc>
          <w:tcPr>
            <w:tcW w:type="dxa" w:w="3120"/>
            <w:shd w:fill="FFFFFF"/>
            <w:tcMar>
              <w:top w:w="100" w:type="dxa"/>
              <w:bottom w:w="100" w:type="dxa"/>
              <w:left w:w="140" w:type="dxa"/>
              <w:right w:w="140" w:type="dxa"/>
            </w:tcMar>
          </w:tcPr>
          <w:p>
            <w:pPr>
              <w:jc w:val="left"/>
            </w:pPr>
            <w:r>
              <w:rPr>
                <w:color w:val="1E293B"/>
                <w:sz w:val="19"/>
              </w:rPr>
              <w:t>7.79</w:t>
            </w:r>
          </w:p>
        </w:tc>
      </w:tr>
      <w:tr>
        <w:tc>
          <w:tcPr>
            <w:tcW w:type="dxa" w:w="3120"/>
            <w:shd w:fill="F8FAFC"/>
            <w:tcMar>
              <w:top w:w="100" w:type="dxa"/>
              <w:bottom w:w="100" w:type="dxa"/>
              <w:left w:w="140" w:type="dxa"/>
              <w:right w:w="140" w:type="dxa"/>
            </w:tcMar>
          </w:tcPr>
          <w:p>
            <w:pPr>
              <w:jc w:val="left"/>
            </w:pPr>
            <w:r>
              <w:rPr>
                <w:b/>
                <w:color w:val="1E293B"/>
                <w:sz w:val="19"/>
              </w:rPr>
              <w:t>Gated only</w:t>
            </w:r>
            <w:r>
              <w:rPr>
                <w:color w:val="1E293B"/>
                <w:sz w:val="19"/>
              </w:rPr>
              <w:t xml:space="preserve"> </w:t>
            </w:r>
            <w:r>
              <w:rPr>
                <w:b/>
                <w:color w:val="1E293B"/>
                <w:sz w:val="19"/>
              </w:rPr>
              <w:t xml:space="preserve"> [18]</w:t>
            </w:r>
          </w:p>
        </w:tc>
        <w:tc>
          <w:tcPr>
            <w:tcW w:type="dxa" w:w="3120"/>
            <w:shd w:fill="F8FAFC"/>
            <w:tcMar>
              <w:top w:w="100" w:type="dxa"/>
              <w:bottom w:w="100" w:type="dxa"/>
              <w:left w:w="140" w:type="dxa"/>
              <w:right w:w="140" w:type="dxa"/>
            </w:tcMar>
          </w:tcPr>
          <w:p>
            <w:pPr>
              <w:jc w:val="left"/>
            </w:pPr>
            <w:r>
              <w:rPr>
                <w:color w:val="1E293B"/>
                <w:sz w:val="19"/>
              </w:rPr>
              <w:t>5.76</w:t>
            </w:r>
          </w:p>
        </w:tc>
        <w:tc>
          <w:tcPr>
            <w:tcW w:type="dxa" w:w="3120"/>
            <w:shd w:fill="F8FAFC"/>
            <w:tcMar>
              <w:top w:w="100" w:type="dxa"/>
              <w:bottom w:w="100" w:type="dxa"/>
              <w:left w:w="140" w:type="dxa"/>
              <w:right w:w="140" w:type="dxa"/>
            </w:tcMar>
          </w:tcPr>
          <w:p>
            <w:pPr>
              <w:jc w:val="left"/>
            </w:pPr>
            <w:r>
              <w:rPr>
                <w:color w:val="1E293B"/>
                <w:sz w:val="19"/>
              </w:rPr>
              <w:t>7.45</w:t>
            </w:r>
          </w:p>
        </w:tc>
      </w:tr>
      <w:tr>
        <w:tc>
          <w:tcPr>
            <w:tcW w:type="dxa" w:w="3120"/>
            <w:shd w:fill="FFFFFF"/>
            <w:tcMar>
              <w:top w:w="100" w:type="dxa"/>
              <w:bottom w:w="100" w:type="dxa"/>
              <w:left w:w="140" w:type="dxa"/>
              <w:right w:w="140" w:type="dxa"/>
            </w:tcMar>
          </w:tcPr>
          <w:p>
            <w:pPr>
              <w:jc w:val="left"/>
            </w:pPr>
            <w:r>
              <w:rPr>
                <w:b/>
                <w:color w:val="1E293B"/>
                <w:sz w:val="19"/>
              </w:rPr>
              <w:t>GSA</w:t>
            </w:r>
            <w:r>
              <w:rPr>
                <w:color w:val="1E293B"/>
                <w:sz w:val="19"/>
              </w:rPr>
              <w:t xml:space="preserve"> </w:t>
            </w:r>
            <w:r>
              <w:rPr>
                <w:b/>
                <w:color w:val="1E293B"/>
                <w:sz w:val="19"/>
              </w:rPr>
              <w:t xml:space="preserve"> [18]</w:t>
            </w:r>
          </w:p>
        </w:tc>
        <w:tc>
          <w:tcPr>
            <w:tcW w:type="dxa" w:w="3120"/>
            <w:shd w:fill="FFFFFF"/>
            <w:tcMar>
              <w:top w:w="100" w:type="dxa"/>
              <w:bottom w:w="100" w:type="dxa"/>
              <w:left w:w="140" w:type="dxa"/>
              <w:right w:w="140" w:type="dxa"/>
            </w:tcMar>
          </w:tcPr>
          <w:p>
            <w:pPr>
              <w:jc w:val="left"/>
            </w:pPr>
            <w:r>
              <w:rPr>
                <w:color w:val="1E293B"/>
                <w:sz w:val="19"/>
              </w:rPr>
              <w:t>5.70</w:t>
            </w:r>
          </w:p>
        </w:tc>
        <w:tc>
          <w:tcPr>
            <w:tcW w:type="dxa" w:w="3120"/>
            <w:shd w:fill="FFFFFF"/>
            <w:tcMar>
              <w:top w:w="100" w:type="dxa"/>
              <w:bottom w:w="100" w:type="dxa"/>
              <w:left w:w="140" w:type="dxa"/>
              <w:right w:w="140" w:type="dxa"/>
            </w:tcMar>
          </w:tcPr>
          <w:p>
            <w:pPr>
              <w:jc w:val="left"/>
            </w:pPr>
            <w:r>
              <w:rPr>
                <w:color w:val="1E293B"/>
                <w:sz w:val="19"/>
              </w:rPr>
              <w:t>7.38</w:t>
            </w:r>
          </w:p>
        </w:tc>
      </w:tr>
    </w:tbl>
    <w:p>
      <w:pPr>
        <w:spacing w:after="120"/>
      </w:pPr>
    </w:p>
    <w:p>
      <w:pPr>
        <w:spacing w:before="40" w:after="120" w:line="276" w:lineRule="auto"/>
      </w:pPr>
      <w:r>
        <w:rPr>
          <w:i/>
        </w:rPr>
        <w:t>Note: Lower perplexity scores indicate superior language modeling performance [18]. GSA outperformed all baselines, and downstream evaluations showed GSA leading across benchmarks with notable gains on MMLU (+2.6 points over standard) and GSM8K (+3.1 points) [18].</w:t>
      </w:r>
    </w:p>
    <w:p>
      <w:pPr>
        <w:spacing w:before="200" w:after="80"/>
      </w:pPr>
      <w:r>
        <w:rPr>
          <w:rFonts w:ascii="Arial" w:hAnsi="Arial"/>
          <w:b/>
          <w:color w:val="1E293B"/>
          <w:sz w:val="22"/>
        </w:rPr>
        <w:t>5. Limitations &amp; Open Questions</w:t>
      </w:r>
    </w:p>
    <w:p>
      <w:pPr>
        <w:spacing w:before="40" w:after="120" w:line="276" w:lineRule="auto"/>
      </w:pPr>
      <w:r>
        <w:t xml:space="preserve">Author-stated limitations include: (i) for short sequences below roughly 4K tokens, the indexer's overhead can exceed sparse attention savings; (ii) the indexer's </w:t>
      </w:r>
      <w:r>
        <w:rPr>
          <w:rFonts w:ascii="Cambria Math" w:hAnsi="Cambria Math"/>
          <w:i/>
          <w:color w:val="0F2942"/>
        </w:rPr>
        <w:t xml:space="preserve"> O(L^2) </w:t>
      </w:r>
      <w:r>
        <w:t xml:space="preserve"> scaling will eventually dominate at extreme sequence lengths beyond 1M tokens; (iii) the two-phase training schedule adds implementation complexity; and (iv) GSA introduces new hyperparameters (</w:t>
      </w:r>
      <w:r>
        <w:rPr>
          <w:rFonts w:ascii="Cambria Math" w:hAnsi="Cambria Math"/>
          <w:i/>
          <w:color w:val="0F2942"/>
        </w:rPr>
        <w:t xml:space="preserve"> k_{textbase} </w:t>
      </w:r>
      <w:r>
        <w:t xml:space="preserve">, </w:t>
      </w:r>
      <w:r>
        <w:rPr>
          <w:rFonts w:ascii="Cambria Math" w:hAnsi="Cambria Math"/>
          <w:i/>
          <w:color w:val="0F2942"/>
        </w:rPr>
        <w:t xml:space="preserve"> d_I </w:t>
      </w:r>
      <w:r>
        <w:t xml:space="preserve">, and gate initialization) requiring tuning for new domains </w:t>
      </w:r>
      <w:r>
        <w:rPr>
          <w:b/>
          <w:color w:val="0284C7"/>
          <w:sz w:val="19"/>
        </w:rPr>
        <w:t xml:space="preserve"> [19]</w:t>
      </w:r>
      <w:r>
        <w:t>.</w:t>
      </w:r>
    </w:p>
    <w:p>
      <w:pPr>
        <w:spacing w:before="360" w:after="120"/>
      </w:pPr>
      <w:r>
        <w:rPr>
          <w:rFonts w:ascii="Arial" w:hAnsi="Arial"/>
          <w:b/>
          <w:color w:val="0F2942"/>
          <w:sz w:val="28"/>
        </w:rPr>
        <w:t>References &amp; Grounded Citations</w:t>
      </w:r>
    </w:p>
    <w:p>
      <w:pPr>
        <w:spacing w:before="40" w:after="80"/>
        <w:ind w:left="432"/>
      </w:pPr>
      <w:r>
        <w:rPr>
          <w:b/>
          <w:color w:val="0284C7"/>
        </w:rPr>
        <w:t xml:space="preserve">[1]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1. INTRODUCTION; PDF Pages 2–3. </w:t>
      </w:r>
      <w:hyperlink r:id="rId11">
        <w:r>
          <w:rPr>
            <w:color w:val="0284C7"/>
            <w:u w:val="single"/>
          </w:rPr>
          <w:t>Open source PDF</w:t>
        </w:r>
      </w:hyperlink>
    </w:p>
    <w:p>
      <w:pPr>
        <w:spacing w:before="40" w:after="80"/>
        <w:ind w:left="432"/>
      </w:pPr>
      <w:r>
        <w:rPr>
          <w:b/>
          <w:color w:val="0284C7"/>
        </w:rPr>
        <w:t xml:space="preserve">[2]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1. INTRODUCTION; PDF Page 2. </w:t>
      </w:r>
      <w:hyperlink r:id="rId11">
        <w:r>
          <w:rPr>
            <w:color w:val="0284C7"/>
            <w:u w:val="single"/>
          </w:rPr>
          <w:t>Open source PDF</w:t>
        </w:r>
      </w:hyperlink>
    </w:p>
    <w:p>
      <w:pPr>
        <w:spacing w:before="40" w:after="80"/>
        <w:ind w:left="432"/>
      </w:pPr>
      <w:r>
        <w:rPr>
          <w:b/>
          <w:color w:val="0284C7"/>
        </w:rPr>
        <w:t xml:space="preserve">[3]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1. INTRODUCTION; PDF Page 3. </w:t>
      </w:r>
      <w:hyperlink r:id="rId12">
        <w:r>
          <w:rPr>
            <w:color w:val="0284C7"/>
            <w:u w:val="single"/>
          </w:rPr>
          <w:t>Open source PDF</w:t>
        </w:r>
      </w:hyperlink>
    </w:p>
    <w:p>
      <w:pPr>
        <w:spacing w:before="40" w:after="80"/>
        <w:ind w:left="432"/>
      </w:pPr>
      <w:r>
        <w:rPr>
          <w:b/>
          <w:color w:val="0284C7"/>
        </w:rPr>
        <w:t xml:space="preserve">[4]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6. RESULTS AND DISCUSSION; PDF Page 7. </w:t>
      </w:r>
      <w:hyperlink r:id="rId13">
        <w:r>
          <w:rPr>
            <w:color w:val="0284C7"/>
            <w:u w:val="single"/>
          </w:rPr>
          <w:t>Open source PDF</w:t>
        </w:r>
      </w:hyperlink>
    </w:p>
    <w:p>
      <w:pPr>
        <w:spacing w:before="40" w:after="80"/>
        <w:ind w:left="432"/>
      </w:pPr>
      <w:r>
        <w:rPr>
          <w:b/>
          <w:color w:val="0284C7"/>
        </w:rPr>
        <w:t xml:space="preserve">[5] </w:t>
      </w:r>
      <w:r>
        <w:rPr>
          <w:b/>
          <w:color w:val="1E293B"/>
        </w:rPr>
        <w:t xml:space="preserve">"Transformer Models for Text Summarization: A Comparative Study". </w:t>
      </w:r>
      <w:r>
        <w:rPr>
          <w:color w:val="1E293B"/>
        </w:rPr>
        <w:t xml:space="preserve">A. Sharma, P. Gupta, R. Kumar, et al. </w:t>
      </w:r>
      <w:r>
        <w:rPr>
          <w:i/>
          <w:color w:val="64748B"/>
        </w:rPr>
        <w:t xml:space="preserve">2026. Section: 7. CONCLUSION; PDF Page 8. </w:t>
      </w:r>
      <w:hyperlink r:id="rId14">
        <w:r>
          <w:rPr>
            <w:color w:val="0284C7"/>
            <w:u w:val="single"/>
          </w:rPr>
          <w:t>Open source PDF</w:t>
        </w:r>
      </w:hyperlink>
    </w:p>
    <w:p>
      <w:pPr>
        <w:spacing w:before="40" w:after="80"/>
        <w:ind w:left="432"/>
      </w:pPr>
      <w:r>
        <w:rPr>
          <w:b/>
          <w:color w:val="0284C7"/>
        </w:rPr>
        <w:t xml:space="preserve">[6] </w:t>
      </w:r>
      <w:r>
        <w:rPr>
          <w:b/>
          <w:color w:val="1E293B"/>
        </w:rPr>
        <w:t xml:space="preserve">"The Deep Arbitrary Polynomial Chaos Neural Network or how Deep Artificial Neural Networks can solve Uncertainty Quantification Problems". </w:t>
      </w:r>
      <w:r>
        <w:rPr>
          <w:color w:val="1E293B"/>
        </w:rPr>
        <w:t xml:space="preserve">V. Keshavarzzadeh, R. M. Kirby, A. Narayan. </w:t>
      </w:r>
      <w:r>
        <w:rPr>
          <w:i/>
          <w:color w:val="64748B"/>
        </w:rPr>
        <w:t xml:space="preserve">2023. Section: ABSTRACT; PDF Page 14. </w:t>
      </w:r>
      <w:hyperlink r:id="rId15">
        <w:r>
          <w:rPr>
            <w:color w:val="0284C7"/>
            <w:u w:val="single"/>
          </w:rPr>
          <w:t>Open source PDF</w:t>
        </w:r>
      </w:hyperlink>
    </w:p>
    <w:p>
      <w:pPr>
        <w:spacing w:before="40" w:after="80"/>
        <w:ind w:left="432"/>
      </w:pPr>
      <w:r>
        <w:rPr>
          <w:b/>
          <w:color w:val="0284C7"/>
        </w:rPr>
        <w:t xml:space="preserve">[7] </w:t>
      </w:r>
      <w:r>
        <w:rPr>
          <w:b/>
          <w:color w:val="1E293B"/>
        </w:rPr>
        <w:t xml:space="preserve">"The Deep Arbitrary Polynomial Chaos Neural Network or how Deep Artificial Neural Networks can solve Uncertainty Quantification Problems". </w:t>
      </w:r>
      <w:r>
        <w:rPr>
          <w:color w:val="1E293B"/>
        </w:rPr>
        <w:t xml:space="preserve">V. Keshavarzzadeh, R. M. Kirby, A. Narayan. </w:t>
      </w:r>
      <w:r>
        <w:rPr>
          <w:i/>
          <w:color w:val="64748B"/>
        </w:rPr>
        <w:t xml:space="preserve">2023. Section: ABSTRACT; PDF Page 16. </w:t>
      </w:r>
      <w:hyperlink r:id="rId16">
        <w:r>
          <w:rPr>
            <w:color w:val="0284C7"/>
            <w:u w:val="single"/>
          </w:rPr>
          <w:t>Open source PDF</w:t>
        </w:r>
      </w:hyperlink>
    </w:p>
    <w:p>
      <w:pPr>
        <w:spacing w:before="40" w:after="80"/>
        <w:ind w:left="432"/>
      </w:pPr>
      <w:r>
        <w:rPr>
          <w:b/>
          <w:color w:val="0284C7"/>
        </w:rPr>
        <w:t xml:space="preserve">[8] </w:t>
      </w:r>
      <w:r>
        <w:rPr>
          <w:b/>
          <w:color w:val="1E293B"/>
        </w:rPr>
        <w:t xml:space="preserve">"The Deep Arbitrary Polynomial Chaos Neural Network or how Deep Artificial Neural Networks can solve Uncertainty Quantification Problems". </w:t>
      </w:r>
      <w:r>
        <w:rPr>
          <w:color w:val="1E293B"/>
        </w:rPr>
        <w:t xml:space="preserve">V. Keshavarzzadeh, R. M. Kirby, A. Narayan. </w:t>
      </w:r>
      <w:r>
        <w:rPr>
          <w:i/>
          <w:color w:val="64748B"/>
        </w:rPr>
        <w:t xml:space="preserve">2023. Section: ABSTRACT; PDF Page 17. </w:t>
      </w:r>
      <w:hyperlink r:id="rId17">
        <w:r>
          <w:rPr>
            <w:color w:val="0284C7"/>
            <w:u w:val="single"/>
          </w:rPr>
          <w:t>Open source PDF</w:t>
        </w:r>
      </w:hyperlink>
    </w:p>
    <w:p>
      <w:pPr>
        <w:spacing w:before="40" w:after="80"/>
        <w:ind w:left="432"/>
      </w:pPr>
      <w:r>
        <w:rPr>
          <w:b/>
          <w:color w:val="0284C7"/>
        </w:rPr>
        <w:t xml:space="preserve">[9] </w:t>
      </w:r>
      <w:r>
        <w:rPr>
          <w:b/>
          <w:color w:val="1E293B"/>
        </w:rPr>
        <w:t xml:space="preserve">"The Deep Arbitrary Polynomial Chaos Neural Network or how Deep Artificial Neural Networks can solve Uncertainty Quantification Problems". </w:t>
      </w:r>
      <w:r>
        <w:rPr>
          <w:color w:val="1E293B"/>
        </w:rPr>
        <w:t xml:space="preserve">V. Keshavarzzadeh, R. M. Kirby, A. Narayan. </w:t>
      </w:r>
      <w:r>
        <w:rPr>
          <w:i/>
          <w:color w:val="64748B"/>
        </w:rPr>
        <w:t xml:space="preserve">2023. Section: ABSTRACT; PDF Page 4. </w:t>
      </w:r>
      <w:hyperlink r:id="rId18">
        <w:r>
          <w:rPr>
            <w:color w:val="0284C7"/>
            <w:u w:val="single"/>
          </w:rPr>
          <w:t>Open source PDF</w:t>
        </w:r>
      </w:hyperlink>
    </w:p>
    <w:p>
      <w:pPr>
        <w:spacing w:before="40" w:after="80"/>
        <w:ind w:left="432"/>
      </w:pPr>
      <w:r>
        <w:rPr>
          <w:b/>
          <w:color w:val="0284C7"/>
        </w:rPr>
        <w:t xml:space="preserve">[10] </w:t>
      </w:r>
      <w:r>
        <w:rPr>
          <w:b/>
          <w:color w:val="1E293B"/>
        </w:rPr>
        <w:t xml:space="preserve">"LegalTurk Optimized BERT for Multi-Label Text Classification and NER". </w:t>
      </w:r>
      <w:r>
        <w:rPr>
          <w:color w:val="1E293B"/>
        </w:rPr>
        <w:t xml:space="preserve">Farnaz Zeidi, Mehmet Fatih Amasyali, Çiğdem Erol • 2024. </w:t>
      </w:r>
      <w:r>
        <w:rPr>
          <w:i/>
          <w:color w:val="64748B"/>
        </w:rPr>
        <w:t xml:space="preserve">2024. Section: ABSTRACT; PDF Page 7. </w:t>
      </w:r>
      <w:hyperlink r:id="rId19">
        <w:r>
          <w:rPr>
            <w:color w:val="0284C7"/>
            <w:u w:val="single"/>
          </w:rPr>
          <w:t>Open source PDF</w:t>
        </w:r>
      </w:hyperlink>
    </w:p>
    <w:p>
      <w:pPr>
        <w:spacing w:before="40" w:after="80"/>
        <w:ind w:left="432"/>
      </w:pPr>
      <w:r>
        <w:rPr>
          <w:b/>
          <w:color w:val="0284C7"/>
        </w:rPr>
        <w:t xml:space="preserve">[11] </w:t>
      </w:r>
      <w:r>
        <w:rPr>
          <w:b/>
          <w:color w:val="1E293B"/>
        </w:rPr>
        <w:t xml:space="preserve">"LegalTurk Optimized BERT for Multi-Label Text Classification and NER". </w:t>
      </w:r>
      <w:r>
        <w:rPr>
          <w:color w:val="1E293B"/>
        </w:rPr>
        <w:t xml:space="preserve">Farnaz Zeidi, Mehmet Fatih Amasyali, Çiğdem Erol • 2024. </w:t>
      </w:r>
      <w:r>
        <w:rPr>
          <w:i/>
          <w:color w:val="64748B"/>
        </w:rPr>
        <w:t xml:space="preserve">2024. Section: ABSTRACT; PDF Pages 7–8. </w:t>
      </w:r>
      <w:hyperlink r:id="rId19">
        <w:r>
          <w:rPr>
            <w:color w:val="0284C7"/>
            <w:u w:val="single"/>
          </w:rPr>
          <w:t>Open source PDF</w:t>
        </w:r>
      </w:hyperlink>
    </w:p>
    <w:p>
      <w:pPr>
        <w:spacing w:before="40" w:after="80"/>
        <w:ind w:left="432"/>
      </w:pPr>
      <w:r>
        <w:rPr>
          <w:b/>
          <w:color w:val="0284C7"/>
        </w:rPr>
        <w:t xml:space="preserve">[12] </w:t>
      </w:r>
      <w:r>
        <w:rPr>
          <w:b/>
          <w:color w:val="1E293B"/>
        </w:rPr>
        <w:t xml:space="preserve">"LegalTurk Optimized BERT for Multi-Label Text Classification and NER". </w:t>
      </w:r>
      <w:r>
        <w:rPr>
          <w:color w:val="1E293B"/>
        </w:rPr>
        <w:t xml:space="preserve">Farnaz Zeidi, Mehmet Fatih Amasyali, Çiğdem Erol • 2024. </w:t>
      </w:r>
      <w:r>
        <w:rPr>
          <w:i/>
          <w:color w:val="64748B"/>
        </w:rPr>
        <w:t xml:space="preserve">2024. Section: ABSTRACT; PDF Page 10. </w:t>
      </w:r>
      <w:hyperlink r:id="rId20">
        <w:r>
          <w:rPr>
            <w:color w:val="0284C7"/>
            <w:u w:val="single"/>
          </w:rPr>
          <w:t>Open source PDF</w:t>
        </w:r>
      </w:hyperlink>
    </w:p>
    <w:p>
      <w:pPr>
        <w:spacing w:before="40" w:after="80"/>
        <w:ind w:left="432"/>
      </w:pPr>
      <w:r>
        <w:rPr>
          <w:b/>
          <w:color w:val="0284C7"/>
        </w:rPr>
        <w:t xml:space="preserve">[13] </w:t>
      </w:r>
      <w:r>
        <w:rPr>
          <w:b/>
          <w:color w:val="1E293B"/>
        </w:rPr>
        <w:t xml:space="preserve">"2-Selmer Groups over Multiquadratic Extensions". </w:t>
      </w:r>
      <w:r>
        <w:rPr>
          <w:color w:val="1E293B"/>
        </w:rPr>
        <w:t xml:space="preserve">Alexander Smith. </w:t>
      </w:r>
      <w:r>
        <w:rPr>
          <w:i/>
          <w:color w:val="64748B"/>
        </w:rPr>
        <w:t xml:space="preserve">2024. Section: 1. Introduction; PDF Pages 1–2. </w:t>
      </w:r>
      <w:hyperlink r:id="rId21">
        <w:r>
          <w:rPr>
            <w:color w:val="0284C7"/>
            <w:u w:val="single"/>
          </w:rPr>
          <w:t>Open source PDF</w:t>
        </w:r>
      </w:hyperlink>
    </w:p>
    <w:p>
      <w:pPr>
        <w:spacing w:before="40" w:after="80"/>
        <w:ind w:left="432"/>
      </w:pPr>
      <w:r>
        <w:rPr>
          <w:b/>
          <w:color w:val="0284C7"/>
        </w:rPr>
        <w:t xml:space="preserve">[14] </w:t>
      </w:r>
      <w:r>
        <w:rPr>
          <w:b/>
          <w:color w:val="1E293B"/>
        </w:rPr>
        <w:t xml:space="preserve">"2-Selmer Groups over Multiquadratic Extensions". </w:t>
      </w:r>
      <w:r>
        <w:rPr>
          <w:color w:val="1E293B"/>
        </w:rPr>
        <w:t xml:space="preserve">Alexander Smith. </w:t>
      </w:r>
      <w:r>
        <w:rPr>
          <w:i/>
          <w:color w:val="64748B"/>
        </w:rPr>
        <w:t xml:space="preserve">2024. Section: References; PDF Page 31. </w:t>
      </w:r>
      <w:hyperlink r:id="rId22">
        <w:r>
          <w:rPr>
            <w:color w:val="0284C7"/>
            <w:u w:val="single"/>
          </w:rPr>
          <w:t>Open source PDF</w:t>
        </w:r>
      </w:hyperlink>
    </w:p>
    <w:p>
      <w:pPr>
        <w:spacing w:before="40" w:after="80"/>
        <w:ind w:left="432"/>
      </w:pPr>
      <w:r>
        <w:rPr>
          <w:b/>
          <w:color w:val="0284C7"/>
        </w:rPr>
        <w:t xml:space="preserve">[15] </w:t>
      </w:r>
      <w:r>
        <w:rPr>
          <w:b/>
          <w:color w:val="1E293B"/>
        </w:rPr>
        <w:t xml:space="preserve">"2-Selmer Groups over Multiquadratic Extensions". </w:t>
      </w:r>
      <w:r>
        <w:rPr>
          <w:color w:val="1E293B"/>
        </w:rPr>
        <w:t xml:space="preserve">Alexander Smith. </w:t>
      </w:r>
      <w:r>
        <w:rPr>
          <w:i/>
          <w:color w:val="64748B"/>
        </w:rPr>
        <w:t xml:space="preserve">2024. Section: References; PDF Page 31. </w:t>
      </w:r>
      <w:hyperlink r:id="rId22">
        <w:r>
          <w:rPr>
            <w:color w:val="0284C7"/>
            <w:u w:val="single"/>
          </w:rPr>
          <w:t>Open source PDF</w:t>
        </w:r>
      </w:hyperlink>
    </w:p>
    <w:p>
      <w:pPr>
        <w:spacing w:before="40" w:after="80"/>
        <w:ind w:left="432"/>
      </w:pPr>
      <w:r>
        <w:rPr>
          <w:b/>
          <w:color w:val="0284C7"/>
        </w:rPr>
        <w:t xml:space="preserve">[16] </w:t>
      </w:r>
      <w:r>
        <w:rPr>
          <w:b/>
          <w:color w:val="1E293B"/>
        </w:rPr>
        <w:t xml:space="preserve">"2-Selmer Groups over Multiquadratic Extensions". </w:t>
      </w:r>
      <w:r>
        <w:rPr>
          <w:color w:val="1E293B"/>
        </w:rPr>
        <w:t xml:space="preserve">Alexander Smith. </w:t>
      </w:r>
      <w:r>
        <w:rPr>
          <w:i/>
          <w:color w:val="64748B"/>
        </w:rPr>
        <w:t xml:space="preserve">2024. Section: Abstract. Let K/Q be a multiquadratic extension. We investigate the av-; PDF Page 1. </w:t>
      </w:r>
      <w:hyperlink r:id="rId21">
        <w:r>
          <w:rPr>
            <w:color w:val="0284C7"/>
            <w:u w:val="single"/>
          </w:rPr>
          <w:t>Open source PDF</w:t>
        </w:r>
      </w:hyperlink>
    </w:p>
    <w:p>
      <w:pPr>
        <w:spacing w:before="40" w:after="80"/>
        <w:ind w:left="432"/>
      </w:pPr>
      <w:r>
        <w:rPr>
          <w:b/>
          <w:color w:val="0284C7"/>
        </w:rPr>
        <w:t xml:space="preserve">[17] </w:t>
      </w:r>
      <w:r>
        <w:rPr>
          <w:b/>
          <w:color w:val="1E293B"/>
        </w:rPr>
        <w:t xml:space="preserve">"2-Selmer Groups over Multiquadratic Extensions". </w:t>
      </w:r>
      <w:r>
        <w:rPr>
          <w:color w:val="1E293B"/>
        </w:rPr>
        <w:t xml:space="preserve">Alexander Smith. </w:t>
      </w:r>
      <w:r>
        <w:rPr>
          <w:i/>
          <w:color w:val="64748B"/>
        </w:rPr>
        <w:t xml:space="preserve">2024. Section: 1. Introduction; PDF Page 4. </w:t>
      </w:r>
      <w:hyperlink r:id="rId23">
        <w:r>
          <w:rPr>
            <w:color w:val="0284C7"/>
            <w:u w:val="single"/>
          </w:rPr>
          <w:t>Open source PDF</w:t>
        </w:r>
      </w:hyperlink>
    </w:p>
    <w:p>
      <w:pPr>
        <w:spacing w:before="40" w:after="80"/>
        <w:ind w:left="432"/>
      </w:pPr>
      <w:r>
        <w:rPr>
          <w:b/>
          <w:color w:val="0284C7"/>
        </w:rPr>
        <w:t xml:space="preserve">[18] </w:t>
      </w:r>
      <w:r>
        <w:rPr>
          <w:b/>
          <w:color w:val="1E293B"/>
        </w:rPr>
        <w:t xml:space="preserve">"Gated Sparse Attention: Combining Computational Efficiency with High Performance". </w:t>
      </w:r>
      <w:r>
        <w:rPr>
          <w:color w:val="1E293B"/>
        </w:rPr>
        <w:t xml:space="preserve">M. Zhang, H. Liu, C. Wang, et al. </w:t>
      </w:r>
      <w:r>
        <w:rPr>
          <w:i/>
          <w:color w:val="64748B"/>
        </w:rPr>
        <w:t xml:space="preserve">2026. Section: Abstract; PDF Page 9. </w:t>
      </w:r>
      <w:hyperlink r:id="rId24">
        <w:r>
          <w:rPr>
            <w:color w:val="0284C7"/>
            <w:u w:val="single"/>
          </w:rPr>
          <w:t>Open source PDF</w:t>
        </w:r>
      </w:hyperlink>
    </w:p>
    <w:p>
      <w:pPr>
        <w:spacing w:before="40" w:after="80"/>
        <w:ind w:left="432"/>
      </w:pPr>
      <w:r>
        <w:rPr>
          <w:b/>
          <w:color w:val="0284C7"/>
        </w:rPr>
        <w:t xml:space="preserve">[19] </w:t>
      </w:r>
      <w:r>
        <w:rPr>
          <w:b/>
          <w:color w:val="1E293B"/>
        </w:rPr>
        <w:t xml:space="preserve">"Gated Sparse Attention: Combining Computational Efficiency with High Performance". </w:t>
      </w:r>
      <w:r>
        <w:rPr>
          <w:color w:val="1E293B"/>
        </w:rPr>
        <w:t xml:space="preserve">M. Zhang, H. Liu, C. Wang, et al. </w:t>
      </w:r>
      <w:r>
        <w:rPr>
          <w:i/>
          <w:color w:val="64748B"/>
        </w:rPr>
        <w:t xml:space="preserve">2026. Section: Abstract; PDF Pages 11–12. </w:t>
      </w:r>
      <w:hyperlink r:id="rId25">
        <w:r>
          <w:rPr>
            <w:color w:val="0284C7"/>
            <w:u w:val="single"/>
          </w:rPr>
          <w:t>Open source PDF</w:t>
        </w:r>
      </w:hyperlink>
    </w:p>
    <w:p>
      <w:pPr>
        <w:spacing w:before="40" w:after="80"/>
        <w:ind w:left="432"/>
      </w:pPr>
      <w:r>
        <w:rPr>
          <w:b/>
          <w:color w:val="0284C7"/>
        </w:rPr>
        <w:t xml:space="preserve">[20] </w:t>
      </w:r>
      <w:r>
        <w:rPr>
          <w:b/>
          <w:color w:val="1E293B"/>
        </w:rPr>
        <w:t xml:space="preserve">"Gated Sparse Attention: Combining Computational Efficiency with High Performance". </w:t>
      </w:r>
      <w:r>
        <w:rPr>
          <w:color w:val="1E293B"/>
        </w:rPr>
        <w:t xml:space="preserve">M. Zhang, H. Liu, C. Wang, et al. </w:t>
      </w:r>
      <w:r>
        <w:rPr>
          <w:i/>
          <w:color w:val="64748B"/>
        </w:rPr>
        <w:t xml:space="preserve">2026. Section: Abstract; PDF Page 2. </w:t>
      </w:r>
      <w:hyperlink r:id="rId26">
        <w:r>
          <w:rPr>
            <w:color w:val="0284C7"/>
            <w:u w:val="single"/>
          </w:rPr>
          <w:t>Open source PDF</w:t>
        </w:r>
      </w:hyperlink>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4748B"/>
        <w:sz w:val="17"/>
      </w:rPr>
      <w:t>Generated: October 26, 2026 | Evidence-Grounded Research Synthesis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SupervisorX Scientific Report • SupervisorX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pdf/2608.19200v1.pdf#page=2" TargetMode="External"/><Relationship Id="rId12" Type="http://schemas.openxmlformats.org/officeDocument/2006/relationships/hyperlink" Target="https://arxiv.org/pdf/2608.19200v1.pdf#page=3" TargetMode="External"/><Relationship Id="rId13" Type="http://schemas.openxmlformats.org/officeDocument/2006/relationships/hyperlink" Target="https://arxiv.org/pdf/2608.19200v1.pdf#page=7" TargetMode="External"/><Relationship Id="rId14" Type="http://schemas.openxmlformats.org/officeDocument/2006/relationships/hyperlink" Target="https://arxiv.org/pdf/2608.19200v1.pdf#page=8" TargetMode="External"/><Relationship Id="rId15" Type="http://schemas.openxmlformats.org/officeDocument/2006/relationships/hyperlink" Target="https://arxiv.org/pdf/2306.14753v1.pdf#page=14" TargetMode="External"/><Relationship Id="rId16" Type="http://schemas.openxmlformats.org/officeDocument/2006/relationships/hyperlink" Target="https://arxiv.org/pdf/2306.14753v1.pdf#page=16" TargetMode="External"/><Relationship Id="rId17" Type="http://schemas.openxmlformats.org/officeDocument/2006/relationships/hyperlink" Target="https://arxiv.org/pdf/2306.14753v1.pdf#page=17" TargetMode="External"/><Relationship Id="rId18" Type="http://schemas.openxmlformats.org/officeDocument/2006/relationships/hyperlink" Target="https://arxiv.org/pdf/2306.14753v1.pdf#page=4" TargetMode="External"/><Relationship Id="rId19" Type="http://schemas.openxmlformats.org/officeDocument/2006/relationships/hyperlink" Target="https://arxiv.org/pdf/2407.00648v1.pdf#page=7" TargetMode="External"/><Relationship Id="rId20" Type="http://schemas.openxmlformats.org/officeDocument/2006/relationships/hyperlink" Target="https://arxiv.org/pdf/2407.00648v1.pdf#page=10" TargetMode="External"/><Relationship Id="rId21" Type="http://schemas.openxmlformats.org/officeDocument/2006/relationships/hyperlink" Target="https://arxiv.org/pdf/2401.08828.pdf#page=1" TargetMode="External"/><Relationship Id="rId22" Type="http://schemas.openxmlformats.org/officeDocument/2006/relationships/hyperlink" Target="https://arxiv.org/pdf/2401.08828.pdf#page=31" TargetMode="External"/><Relationship Id="rId23" Type="http://schemas.openxmlformats.org/officeDocument/2006/relationships/hyperlink" Target="https://arxiv.org/pdf/2401.08828.pdf#page=4" TargetMode="External"/><Relationship Id="rId24" Type="http://schemas.openxmlformats.org/officeDocument/2006/relationships/hyperlink" Target="https://arxiv.org/pdf/2601.15305v1.pdf#page=9" TargetMode="External"/><Relationship Id="rId25" Type="http://schemas.openxmlformats.org/officeDocument/2006/relationships/hyperlink" Target="https://arxiv.org/pdf/2601.15305v1.pdf#page=11" TargetMode="External"/><Relationship Id="rId26" Type="http://schemas.openxmlformats.org/officeDocument/2006/relationships/hyperlink" Target="https://arxiv.org/pdf/2601.15305v1.pdf#pag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