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80" w:after="80"/>
      </w:pPr>
      <w:r>
        <w:rPr>
          <w:rFonts w:ascii="Arial" w:hAnsi="Arial"/>
          <w:b/>
          <w:color w:val="0F2942"/>
          <w:sz w:val="28"/>
        </w:rPr>
        <w:t>Overview</w:t>
      </w:r>
    </w:p>
    <w:p>
      <w:pPr>
        <w:spacing w:before="40" w:after="120" w:line="276" w:lineRule="auto"/>
      </w:pPr>
      <w:r>
        <w:t>Here is the detailed summary of all analyzed papers based strictly on the provided evidence excerpts.</w:t>
      </w:r>
    </w:p>
    <w:p>
      <w:pPr>
        <w:spacing w:before="200" w:after="80"/>
      </w:pPr>
      <w:r>
        <w:rPr>
          <w:rFonts w:ascii="Arial" w:hAnsi="Arial"/>
          <w:b/>
          <w:color w:val="1E293B"/>
          <w:sz w:val="22"/>
        </w:rPr>
        <w:t>1. Core Problem &amp; Objective</w:t>
      </w:r>
    </w:p>
    <w:p>
      <w:pPr>
        <w:spacing w:before="40" w:after="120" w:line="276" w:lineRule="auto"/>
      </w:pPr>
      <w:r>
        <w:t xml:space="preserve">The paper addresses the need for a focused comparative review of specific transformer architectures (such as BERT, RoBERTa, and BART) in Automatic Text Summarization (ATS). Existing surveys often adopt a broad perspective without detailing how architectural differences—specifically encoder-only versus encoder-decoder structures and pretraining objectives—impact their effectiveness in extractive and abstractive summarization </w:t>
      </w:r>
      <w:r>
        <w:rPr>
          <w:b/>
          <w:color w:val="0284C7"/>
          <w:sz w:val="19"/>
        </w:rPr>
        <w:t xml:space="preserve"> [1]</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three transformer models: BERT (providing bidirectional contextual representations for extractive tasks), RoBERTa (enhancing BERT through optimized pretraining strategies and larger datasets), and BART (incorporating an encoder-decoder framework for generative/abstractive tasks) </w:t>
      </w:r>
      <w:r>
        <w:rPr>
          <w:b/>
          <w:color w:val="0284C7"/>
          <w:sz w:val="19"/>
        </w:rPr>
        <w:t xml:space="preserve"> [1]</w:t>
      </w:r>
      <w:r>
        <w:t xml:space="preserve">, </w:t>
      </w:r>
      <w:r>
        <w:rPr>
          <w:b/>
          <w:color w:val="0284C7"/>
          <w:sz w:val="19"/>
        </w:rPr>
        <w:t xml:space="preserve"> [2]</w:t>
      </w:r>
      <w:r>
        <w:t xml:space="preserve">. The evaluation uses a consistent setting without proposing new models </w:t>
      </w:r>
      <w:r>
        <w:rPr>
          <w:b/>
          <w:color w:val="0284C7"/>
          <w:sz w:val="19"/>
        </w:rPr>
        <w:t xml:space="preserve"> [2]</w:t>
      </w:r>
      <w:r>
        <w:t>.</w:t>
      </w:r>
    </w:p>
    <w:p>
      <w:pPr>
        <w:spacing w:before="200" w:after="80"/>
      </w:pPr>
      <w:r>
        <w:rPr>
          <w:rFonts w:ascii="Arial" w:hAnsi="Arial"/>
          <w:b/>
          <w:color w:val="1E293B"/>
          <w:sz w:val="22"/>
        </w:rPr>
        <w:t>3. Experimental Setup &amp; Datasets</w:t>
      </w:r>
    </w:p>
    <w:p>
      <w:pPr>
        <w:spacing w:before="40" w:after="120" w:line="276" w:lineRule="auto"/>
      </w:pPr>
      <w:r>
        <w:t xml:space="preserve">The experiments utilize the CNN/Daily Mail dataset obtained from Kaggle in 2025, comprising news articles paired with human-written reference summaries </w:t>
      </w:r>
      <w:r>
        <w:rPr>
          <w:b/>
          <w:color w:val="0284C7"/>
          <w:sz w:val="19"/>
        </w:rPr>
        <w:t xml:space="preserve"> [2]</w:t>
      </w:r>
      <w:r>
        <w:t xml:space="preserve">. Performance is assessed using ROUGE and BLEU metrics </w:t>
      </w:r>
      <w:r>
        <w:rPr>
          <w:b/>
          <w:color w:val="0284C7"/>
          <w:sz w:val="19"/>
        </w:rPr>
        <w:t xml:space="preserve"> [2]</w:t>
      </w:r>
      <w:r>
        <w:t xml:space="preserve">, </w:t>
      </w:r>
      <w:r>
        <w:rPr>
          <w:b/>
          <w:color w:val="0284C7"/>
          <w:sz w:val="19"/>
        </w:rPr>
        <w:t xml:space="preserve"> [3]</w:t>
      </w:r>
      <w:r>
        <w:t>.</w:t>
      </w:r>
    </w:p>
    <w:p>
      <w:pPr>
        <w:spacing w:before="200" w:after="80"/>
      </w:pPr>
      <w:r>
        <w:rPr>
          <w:rFonts w:ascii="Arial" w:hAnsi="Arial"/>
          <w:b/>
          <w:color w:val="1E293B"/>
          <w:sz w:val="22"/>
        </w:rPr>
        <w:t>4. Key Findings &amp; Reported Metrics</w:t>
      </w:r>
    </w:p>
    <w:p>
      <w:pPr>
        <w:spacing w:before="40" w:after="120" w:line="276" w:lineRule="auto"/>
      </w:pPr>
      <w:r>
        <w:t xml:space="preserve">BART outperformed BERT across all ROUGE and BLEU metrics </w:t>
      </w:r>
      <w:r>
        <w:rPr>
          <w:b/>
          <w:color w:val="0284C7"/>
          <w:sz w:val="19"/>
        </w:rPr>
        <w:t xml:space="preserve"> [3]</w:t>
      </w:r>
      <w:r>
        <w:t xml:space="preserve">. Specifically, BART achieved a ROUGE-1 score of approximately 0.4117, whereas RoBERTa achieved a ROUGE-1 score of 0.1820 </w:t>
      </w:r>
      <w:r>
        <w:rPr>
          <w:b/>
          <w:color w:val="0284C7"/>
          <w:sz w:val="19"/>
        </w:rPr>
        <w:t xml:space="preserve"> [3]</w:t>
      </w:r>
      <w:r>
        <w:t xml:space="preserve">. Abstractive models like BART achieve higher semantic quality, while extractive models like BERT and RoBERTa are more fact-preserving and stable </w:t>
      </w:r>
      <w:r>
        <w:rPr>
          <w:b/>
          <w:color w:val="0284C7"/>
          <w:sz w:val="19"/>
        </w:rPr>
        <w:t xml:space="preserve"> [4]</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and future work include the influence of differing training configurations (fine-tuned encoder-only models versus pretrained generative models) on performance comparisons, and the potential to fine-tune BART on domain-specific corpora (medical, legal, educational) or compare against larger models like T5, LLaMA, and GPT-based architectures </w:t>
      </w:r>
      <w:r>
        <w:rPr>
          <w:b/>
          <w:color w:val="0284C7"/>
          <w:sz w:val="19"/>
        </w:rPr>
        <w:t xml:space="preserve"> [4]</w:t>
      </w:r>
      <w:r>
        <w:t xml:space="preserve">. Automated evaluation metrics (ROUGE/BLEU) may also fail to fully capture semantic quality and human readability </w:t>
      </w:r>
      <w:r>
        <w:rPr>
          <w:b/>
          <w:color w:val="0284C7"/>
          <w:sz w:val="19"/>
        </w:rPr>
        <w:t xml:space="preserve"> [2]</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Uncertainty Quantification (UQ) problems using Deep Artificial Neural Networks combined with Arbitrary Polynomial Chaos expansions, aiming to overcome limitations in traditional stochastic and deep neural network methods </w:t>
      </w:r>
      <w:r>
        <w:rPr>
          <w:b/>
          <w:color w:val="0284C7"/>
          <w:sz w:val="19"/>
        </w:rPr>
        <w:t xml:space="preserve"> [5]</w:t>
      </w:r>
      <w:r>
        <w:t xml:space="preserve">, </w:t>
      </w:r>
      <w:r>
        <w:rPr>
          <w:b/>
          <w:color w:val="0284C7"/>
          <w:sz w:val="19"/>
        </w:rPr>
        <w:t xml:space="preserve"> [7]</w:t>
      </w:r>
      <w:r>
        <w:t>.</w:t>
      </w:r>
    </w:p>
    <w:p>
      <w:pPr>
        <w:spacing w:before="200" w:after="80"/>
      </w:pPr>
      <w:r>
        <w:rPr>
          <w:rFonts w:ascii="Arial" w:hAnsi="Arial"/>
          <w:b/>
          <w:color w:val="1E293B"/>
          <w:sz w:val="22"/>
        </w:rPr>
        <w:t>2. Methodology &amp; Architecture</w:t>
      </w:r>
    </w:p>
    <w:p>
      <w:pPr>
        <w:spacing w:before="40" w:after="120" w:line="276" w:lineRule="auto"/>
      </w:pPr>
      <w:r>
        <w:t xml:space="preserve">The study proposes the Deep Arbitrary Polynomial Chaos Neural Network (DaPC NN) alongside standard arbitrary Polynomial Chaos (aPC) and conventional Deep Artificial Neural Networks (DANN) </w:t>
      </w:r>
      <w:r>
        <w:rPr>
          <w:b/>
          <w:color w:val="0284C7"/>
          <w:sz w:val="19"/>
        </w:rPr>
        <w:t xml:space="preserve"> [5]</w:t>
      </w:r>
      <w:r>
        <w:t xml:space="preserve">, </w:t>
      </w:r>
      <w:r>
        <w:rPr>
          <w:b/>
          <w:color w:val="0284C7"/>
          <w:sz w:val="19"/>
        </w:rPr>
        <w:t xml:space="preserve"> [7]</w:t>
      </w:r>
      <w:r>
        <w:t xml:space="preserve">. DaPC NN introduces additional degrees of freedom by specifying non-linearity degrees on specific layers, resulting in unknown weights associated with input neurons from previous layers </w:t>
      </w:r>
      <w:r>
        <w:rPr>
          <w:b/>
          <w:color w:val="0284C7"/>
          <w:sz w:val="19"/>
        </w:rPr>
        <w:t xml:space="preserve"> [5]</w:t>
      </w:r>
      <w:r>
        <w:t>. Architectures are defined by total layers (</w:t>
      </w:r>
      <w:r>
        <w:rPr>
          <w:rFonts w:ascii="Cambria Math" w:hAnsi="Cambria Math"/>
          <w:i/>
          <w:color w:val="0F2942"/>
        </w:rPr>
        <w:t xml:space="preserve"> L </w:t>
      </w:r>
      <w:r>
        <w:t>), nodes per layer (</w:t>
      </w:r>
      <w:r>
        <w:rPr>
          <w:rFonts w:ascii="Cambria Math" w:hAnsi="Cambria Math"/>
          <w:i/>
          <w:color w:val="0F2942"/>
        </w:rPr>
        <w:t xml:space="preserve"> N^(L) </w:t>
      </w:r>
      <w:r>
        <w:t>), non-linearity degrees (</w:t>
      </w:r>
      <w:r>
        <w:rPr>
          <w:rFonts w:ascii="Cambria Math" w:hAnsi="Cambria Math"/>
          <w:i/>
          <w:color w:val="0F2942"/>
        </w:rPr>
        <w:t xml:space="preserve"> d^(L) </w:t>
      </w:r>
      <w:r>
        <w:t>), activation functions (</w:t>
      </w:r>
      <w:r>
        <w:rPr>
          <w:rFonts w:ascii="Cambria Math" w:hAnsi="Cambria Math"/>
          <w:i/>
          <w:color w:val="0F2942"/>
        </w:rPr>
        <w:t xml:space="preserve"> A^(L) </w:t>
      </w:r>
      <w:r>
        <w:t>), loss functions (e.g., Mean Square Error plus Mean Square Weights, MSE+MSW), and total unknown weights (</w:t>
      </w:r>
      <w:r>
        <w:rPr>
          <w:rFonts w:ascii="Cambria Math" w:hAnsi="Cambria Math"/>
          <w:i/>
          <w:color w:val="0F2942"/>
        </w:rPr>
        <w:t xml:space="preserve"> N_w </w:t>
      </w:r>
      <w:r>
        <w:t xml:space="preserve">) </w:t>
      </w:r>
      <w:r>
        <w:rPr>
          <w:b/>
          <w:color w:val="0284C7"/>
          <w:sz w:val="19"/>
        </w:rPr>
        <w:t xml:space="preserve"> [5]</w:t>
      </w:r>
      <w:r>
        <w:t xml:space="preserve">, </w:t>
      </w:r>
      <w:r>
        <w:rPr>
          <w:b/>
          <w:color w:val="0284C7"/>
          <w:sz w:val="19"/>
        </w:rPr>
        <w:t xml:space="preserve"> [7]</w:t>
      </w:r>
      <w:r>
        <w:t>.</w:t>
      </w:r>
    </w:p>
    <w:p>
      <w:pPr>
        <w:spacing w:before="200" w:after="80"/>
      </w:pPr>
      <w:r>
        <w:rPr>
          <w:rFonts w:ascii="Arial" w:hAnsi="Arial"/>
          <w:b/>
          <w:color w:val="1E293B"/>
          <w:sz w:val="22"/>
        </w:rPr>
        <w:t>3. Experimental Setup &amp; Datasets</w:t>
      </w:r>
    </w:p>
    <w:p>
      <w:pPr>
        <w:spacing w:before="40" w:after="120" w:line="276" w:lineRule="auto"/>
      </w:pPr>
      <w:r>
        <w:t>The study utilizes training datasets (</w:t>
      </w:r>
      <w:r>
        <w:rPr>
          <w:rFonts w:ascii="Cambria Math" w:hAnsi="Cambria Math"/>
          <w:i/>
          <w:color w:val="0F2942"/>
        </w:rPr>
        <w:t xml:space="preserve"> D_TN </w:t>
      </w:r>
      <w:r>
        <w:t xml:space="preserve">) of sizes </w:t>
      </w:r>
      <w:r>
        <w:rPr>
          <w:rFonts w:ascii="Cambria Math" w:hAnsi="Cambria Math"/>
          <w:i/>
          <w:color w:val="0F2942"/>
        </w:rPr>
        <w:t xml:space="preserve"> T_N = 10, 100, </w:t>
      </w:r>
      <w:r>
        <w:t xml:space="preserve"> and </w:t>
      </w:r>
      <w:r>
        <w:rPr>
          <w:rFonts w:ascii="Cambria Math" w:hAnsi="Cambria Math"/>
          <w:i/>
          <w:color w:val="0F2942"/>
        </w:rPr>
        <w:t xml:space="preserve"> 1000 </w:t>
      </w:r>
      <w:r>
        <w:t>, with validation datasets (</w:t>
      </w:r>
      <w:r>
        <w:rPr>
          <w:rFonts w:ascii="Cambria Math" w:hAnsi="Cambria Math"/>
          <w:i/>
          <w:color w:val="0F2942"/>
        </w:rPr>
        <w:t xml:space="preserve"> D_VN </w:t>
      </w:r>
      <w:r>
        <w:t xml:space="preserve">) of size </w:t>
      </w:r>
      <w:r>
        <w:rPr>
          <w:rFonts w:ascii="Cambria Math" w:hAnsi="Cambria Math"/>
          <w:i/>
          <w:color w:val="0F2942"/>
        </w:rPr>
        <w:t xml:space="preserve"> V_N = 10^3 </w:t>
      </w:r>
      <w:r>
        <w:t xml:space="preserve"> generated via Monte Carlo sampling </w:t>
      </w:r>
      <w:r>
        <w:rPr>
          <w:b/>
          <w:color w:val="0284C7"/>
          <w:sz w:val="19"/>
        </w:rPr>
        <w:t xml:space="preserve"> [6]</w:t>
      </w:r>
      <w:r>
        <w:t xml:space="preserve">. Test cases include an Ishigami test case with three inputs, an ON-10 test case with ten inputs, and a carbon dioxide benchmark problem with non-linear shock propagation </w:t>
      </w:r>
      <w:r>
        <w:rPr>
          <w:b/>
          <w:color w:val="0284C7"/>
          <w:sz w:val="19"/>
        </w:rPr>
        <w:t xml:space="preserve"> [5]</w:t>
      </w:r>
      <w:r>
        <w:t xml:space="preserve">, </w:t>
      </w:r>
      <w:r>
        <w:rPr>
          <w:b/>
          <w:color w:val="0284C7"/>
          <w:sz w:val="19"/>
        </w:rPr>
        <w:t xml:space="preserve"> [6]</w:t>
      </w:r>
      <w:r>
        <w:t xml:space="preserve">, </w:t>
      </w:r>
      <w:r>
        <w:rPr>
          <w:b/>
          <w:color w:val="0284C7"/>
          <w:sz w:val="19"/>
        </w:rPr>
        <w:t xml:space="preserve"> [7]</w:t>
      </w:r>
      <w:r>
        <w:t>.</w:t>
      </w:r>
    </w:p>
    <w:p>
      <w:pPr>
        <w:spacing w:before="200" w:after="80"/>
      </w:pPr>
      <w:r>
        <w:rPr>
          <w:rFonts w:ascii="Arial" w:hAnsi="Arial"/>
          <w:b/>
          <w:color w:val="1E293B"/>
          <w:sz w:val="22"/>
        </w:rPr>
        <w:t>4. Key Findings &amp; Reported Metrics</w:t>
      </w:r>
    </w:p>
    <w:p>
      <w:pPr>
        <w:spacing w:before="40" w:after="120" w:line="276" w:lineRule="auto"/>
      </w:pPr>
      <w:r>
        <w:t xml:space="preserve">DaPC NN achieved faster convergence in terms of all investigated metrics (mean square error, relative error of the mean value, and relative error of the standard deviation) compared to conventional DANN and aPC expansions </w:t>
      </w:r>
      <w:r>
        <w:rPr>
          <w:b/>
          <w:color w:val="0284C7"/>
          <w:sz w:val="19"/>
        </w:rPr>
        <w:t xml:space="preserve"> [7]</w:t>
      </w:r>
      <w:r>
        <w:t xml:space="preserve">. Conventional DANN models showed stronger and higher-density point cloud spreading compared to DaPC NN and aPC models </w:t>
      </w:r>
      <w:r>
        <w:rPr>
          <w:b/>
          <w:color w:val="0284C7"/>
          <w:sz w:val="19"/>
        </w:rPr>
        <w:t xml:space="preserve"> [7]</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or structural challenges include the high degree of freedom in choosing layers, nodes, non-linearity degrees, and activation functions, which pose strong modeling challenges and require a deep understanding of each underlying machine learning approach </w:t>
      </w:r>
      <w:r>
        <w:rPr>
          <w:b/>
          <w:color w:val="0284C7"/>
          <w:sz w:val="19"/>
        </w:rPr>
        <w:t xml:space="preserve"> [5]</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adaptation and optimization of BERT models for natural language processing within the legal domain, focusing specifically on Turkish legal texts for multi-label text classification and Named Entity Recognition (NER) </w:t>
      </w:r>
      <w:r>
        <w:rPr>
          <w:b/>
          <w:color w:val="0284C7"/>
          <w:sz w:val="19"/>
        </w:rPr>
        <w:t xml:space="preserve"> [8]</w:t>
      </w:r>
      <w:r>
        <w:t xml:space="preserve">, </w:t>
      </w:r>
      <w:r>
        <w:rPr>
          <w:b/>
          <w:color w:val="0284C7"/>
          <w:sz w:val="19"/>
        </w:rPr>
        <w:t xml:space="preserve"> [9]</w:t>
      </w:r>
      <w:r>
        <w:t xml:space="preserve">, </w:t>
      </w:r>
      <w:r>
        <w:rPr>
          <w:b/>
          <w:color w:val="0284C7"/>
          <w:sz w:val="19"/>
        </w:rPr>
        <w:t xml:space="preserve"> [11]</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models pre-trained from scratch and fine-tuned using the Hold-out method (80% training, 10% validation, 10% testing) </w:t>
      </w:r>
      <w:r>
        <w:rPr>
          <w:b/>
          <w:color w:val="0284C7"/>
          <w:sz w:val="19"/>
        </w:rPr>
        <w:t xml:space="preserve"> [9]</w:t>
      </w:r>
      <w:r>
        <w:t xml:space="preserve">, </w:t>
      </w:r>
      <w:r>
        <w:rPr>
          <w:b/>
          <w:color w:val="0284C7"/>
          <w:sz w:val="19"/>
        </w:rPr>
        <w:t xml:space="preserve"> [10]</w:t>
      </w:r>
      <w:r>
        <w:t xml:space="preserve">. Modifications tested include replacing Next Sentence Prediction (NSP) with Sentence Order Prediction (SOP), adjusting Masked Language Modeling (MLM) ratios, and incorporating TF-IDF weighting on tokens </w:t>
      </w:r>
      <w:r>
        <w:rPr>
          <w:b/>
          <w:color w:val="0284C7"/>
          <w:sz w:val="19"/>
        </w:rPr>
        <w:t xml:space="preserve"> [10]</w:t>
      </w:r>
      <w:r>
        <w:t xml:space="preserve">. Performance is assessed using Precision, Recall, and F-measure </w:t>
      </w:r>
      <w:r>
        <w:rPr>
          <w:b/>
          <w:color w:val="0284C7"/>
          <w:sz w:val="19"/>
        </w:rPr>
        <w:t xml:space="preserve"> [9]</w:t>
      </w:r>
      <w:r>
        <w:t xml:space="preserve">, </w:t>
      </w:r>
      <w:r>
        <w:rPr>
          <w:b/>
          <w:color w:val="0284C7"/>
          <w:sz w:val="19"/>
        </w:rPr>
        <w:t xml:space="preserve"> [10]</w:t>
      </w:r>
      <w:r>
        <w:t>.</w:t>
      </w:r>
    </w:p>
    <w:p>
      <w:pPr>
        <w:spacing w:before="200" w:after="80"/>
      </w:pPr>
      <w:r>
        <w:rPr>
          <w:rFonts w:ascii="Arial" w:hAnsi="Arial"/>
          <w:b/>
          <w:color w:val="1E293B"/>
          <w:sz w:val="22"/>
        </w:rPr>
        <w:t>3. Experimental Setup &amp; Datasets</w:t>
      </w:r>
    </w:p>
    <w:p>
      <w:pPr>
        <w:spacing w:before="40" w:after="120" w:line="276" w:lineRule="auto"/>
      </w:pPr>
      <w:r>
        <w:t xml:space="preserve">The fine-tuning stage utilized annotated datasets consisting of 614,541 sentences for NER and 175,279 sentences for multi-label text classification </w:t>
      </w:r>
      <w:r>
        <w:rPr>
          <w:b/>
          <w:color w:val="0284C7"/>
          <w:sz w:val="19"/>
        </w:rPr>
        <w:t xml:space="preserve"> [9]</w:t>
      </w:r>
      <w:r>
        <w:t xml:space="preserve">. Initial pre-training used a 50MB corpus extracted from legal domain theses, subsequently scaling to larger corpora (100MB, 500MB, 1GB, and 2GB) for comparative evaluation against BERTurk ("dbmdz/bert-base-turkish-cased", pre-trained on a 35GB corpus) </w:t>
      </w:r>
      <w:r>
        <w:rPr>
          <w:b/>
          <w:color w:val="0284C7"/>
          <w:sz w:val="19"/>
        </w:rPr>
        <w:t xml:space="preserve"> [9]</w:t>
      </w:r>
      <w:r>
        <w:t xml:space="preserve">, </w:t>
      </w:r>
      <w:r>
        <w:rPr>
          <w:b/>
          <w:color w:val="0284C7"/>
          <w:sz w:val="19"/>
        </w:rPr>
        <w:t xml:space="preserve"> [10]</w:t>
      </w:r>
      <w:r>
        <w:t xml:space="preserve">, </w:t>
      </w:r>
      <w:r>
        <w:rPr>
          <w:b/>
          <w:color w:val="0284C7"/>
          <w:sz w:val="19"/>
        </w:rPr>
        <w:t xml:space="preserve"> [11]</w:t>
      </w:r>
      <w:r>
        <w:t>.</w:t>
      </w:r>
    </w:p>
    <w:p>
      <w:pPr>
        <w:spacing w:before="200" w:after="80"/>
      </w:pPr>
      <w:r>
        <w:rPr>
          <w:rFonts w:ascii="Arial" w:hAnsi="Arial"/>
          <w:b/>
          <w:color w:val="1E293B"/>
          <w:sz w:val="22"/>
        </w:rPr>
        <w:t>4. Key Findings &amp; Reported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color w:val="1E293B"/>
                <w:sz w:val="19"/>
              </w:rPr>
              <w:t xml:space="preserve">Original BERT: NSP_MLM_80_10_10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84.36</w:t>
            </w:r>
          </w:p>
        </w:tc>
        <w:tc>
          <w:tcPr>
            <w:tcW w:type="dxa" w:w="1337"/>
            <w:shd w:fill="F8FAFC"/>
            <w:tcMar>
              <w:top w:w="100" w:type="dxa"/>
              <w:bottom w:w="100" w:type="dxa"/>
              <w:left w:w="140" w:type="dxa"/>
              <w:right w:w="140" w:type="dxa"/>
            </w:tcMar>
          </w:tcPr>
          <w:p>
            <w:pPr>
              <w:jc w:val="left"/>
            </w:pPr>
            <w:r>
              <w:rPr>
                <w:color w:val="1E293B"/>
                <w:sz w:val="19"/>
              </w:rPr>
              <w:t>48.79</w:t>
            </w:r>
          </w:p>
        </w:tc>
        <w:tc>
          <w:tcPr>
            <w:tcW w:type="dxa" w:w="1337"/>
            <w:shd w:fill="F8FAFC"/>
            <w:tcMar>
              <w:top w:w="100" w:type="dxa"/>
              <w:bottom w:w="100" w:type="dxa"/>
              <w:left w:w="140" w:type="dxa"/>
              <w:right w:w="140" w:type="dxa"/>
            </w:tcMar>
          </w:tcPr>
          <w:p>
            <w:pPr>
              <w:jc w:val="left"/>
            </w:pPr>
            <w:r>
              <w:rPr>
                <w:color w:val="1E293B"/>
                <w:sz w:val="19"/>
              </w:rPr>
              <w:t>61.82</w:t>
            </w:r>
          </w:p>
        </w:tc>
        <w:tc>
          <w:tcPr>
            <w:tcW w:type="dxa" w:w="1337"/>
            <w:shd w:fill="F8FAFC"/>
            <w:tcMar>
              <w:top w:w="100" w:type="dxa"/>
              <w:bottom w:w="100" w:type="dxa"/>
              <w:left w:w="140" w:type="dxa"/>
              <w:right w:w="140" w:type="dxa"/>
            </w:tcMar>
          </w:tcPr>
          <w:p>
            <w:pPr>
              <w:jc w:val="left"/>
            </w:pPr>
            <w:r>
              <w:rPr>
                <w:color w:val="1E293B"/>
                <w:sz w:val="19"/>
              </w:rPr>
              <w:t>50.77</w:t>
            </w:r>
          </w:p>
        </w:tc>
        <w:tc>
          <w:tcPr>
            <w:tcW w:type="dxa" w:w="1337"/>
            <w:shd w:fill="F8FAFC"/>
            <w:tcMar>
              <w:top w:w="100" w:type="dxa"/>
              <w:bottom w:w="100" w:type="dxa"/>
              <w:left w:w="140" w:type="dxa"/>
              <w:right w:w="140" w:type="dxa"/>
            </w:tcMar>
          </w:tcPr>
          <w:p>
            <w:pPr>
              <w:jc w:val="left"/>
            </w:pPr>
            <w:r>
              <w:rPr>
                <w:color w:val="1E293B"/>
                <w:sz w:val="19"/>
              </w:rPr>
              <w:t>73.53</w:t>
            </w:r>
          </w:p>
        </w:tc>
        <w:tc>
          <w:tcPr>
            <w:tcW w:type="dxa" w:w="1337"/>
            <w:shd w:fill="F8FAFC"/>
            <w:tcMar>
              <w:top w:w="100" w:type="dxa"/>
              <w:bottom w:w="100" w:type="dxa"/>
              <w:left w:w="140" w:type="dxa"/>
              <w:right w:w="140" w:type="dxa"/>
            </w:tcMar>
          </w:tcPr>
          <w:p>
            <w:pPr>
              <w:jc w:val="left"/>
            </w:pPr>
            <w:r>
              <w:rPr>
                <w:color w:val="1E293B"/>
                <w:sz w:val="19"/>
              </w:rPr>
              <w:t>60.07</w:t>
            </w:r>
          </w:p>
        </w:tc>
      </w:tr>
      <w:tr>
        <w:tc>
          <w:tcPr>
            <w:tcW w:type="dxa" w:w="1337"/>
            <w:shd w:fill="FFFFFF"/>
            <w:tcMar>
              <w:top w:w="100" w:type="dxa"/>
              <w:bottom w:w="100" w:type="dxa"/>
              <w:left w:w="140" w:type="dxa"/>
              <w:right w:w="140" w:type="dxa"/>
            </w:tcMar>
          </w:tcPr>
          <w:p>
            <w:pPr>
              <w:jc w:val="left"/>
            </w:pPr>
            <w:r>
              <w:rPr>
                <w:color w:val="1E293B"/>
                <w:sz w:val="19"/>
              </w:rPr>
              <w:t xml:space="preserve">SOP_MLM_80_10_10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84.93</w:t>
            </w:r>
          </w:p>
        </w:tc>
        <w:tc>
          <w:tcPr>
            <w:tcW w:type="dxa" w:w="1337"/>
            <w:shd w:fill="FFFFFF"/>
            <w:tcMar>
              <w:top w:w="100" w:type="dxa"/>
              <w:bottom w:w="100" w:type="dxa"/>
              <w:left w:w="140" w:type="dxa"/>
              <w:right w:w="140" w:type="dxa"/>
            </w:tcMar>
          </w:tcPr>
          <w:p>
            <w:pPr>
              <w:jc w:val="left"/>
            </w:pPr>
            <w:r>
              <w:rPr>
                <w:color w:val="1E293B"/>
                <w:sz w:val="19"/>
              </w:rPr>
              <w:t>54.71</w:t>
            </w:r>
          </w:p>
        </w:tc>
        <w:tc>
          <w:tcPr>
            <w:tcW w:type="dxa" w:w="1337"/>
            <w:shd w:fill="FFFFFF"/>
            <w:tcMar>
              <w:top w:w="100" w:type="dxa"/>
              <w:bottom w:w="100" w:type="dxa"/>
              <w:left w:w="140" w:type="dxa"/>
              <w:right w:w="140" w:type="dxa"/>
            </w:tcMar>
          </w:tcPr>
          <w:p>
            <w:pPr>
              <w:jc w:val="left"/>
            </w:pPr>
            <w:r>
              <w:rPr>
                <w:color w:val="1E293B"/>
                <w:sz w:val="19"/>
              </w:rPr>
              <w:t>66.55</w:t>
            </w:r>
          </w:p>
        </w:tc>
        <w:tc>
          <w:tcPr>
            <w:tcW w:type="dxa" w:w="1337"/>
            <w:shd w:fill="FFFFFF"/>
            <w:tcMar>
              <w:top w:w="100" w:type="dxa"/>
              <w:bottom w:w="100" w:type="dxa"/>
              <w:left w:w="140" w:type="dxa"/>
              <w:right w:w="140" w:type="dxa"/>
            </w:tcMar>
          </w:tcPr>
          <w:p>
            <w:pPr>
              <w:jc w:val="left"/>
            </w:pPr>
            <w:r>
              <w:rPr>
                <w:color w:val="1E293B"/>
                <w:sz w:val="19"/>
              </w:rPr>
              <w:t>51.22</w:t>
            </w:r>
          </w:p>
        </w:tc>
        <w:tc>
          <w:tcPr>
            <w:tcW w:type="dxa" w:w="1337"/>
            <w:shd w:fill="FFFFFF"/>
            <w:tcMar>
              <w:top w:w="100" w:type="dxa"/>
              <w:bottom w:w="100" w:type="dxa"/>
              <w:left w:w="140" w:type="dxa"/>
              <w:right w:w="140" w:type="dxa"/>
            </w:tcMar>
          </w:tcPr>
          <w:p>
            <w:pPr>
              <w:jc w:val="left"/>
            </w:pPr>
            <w:r>
              <w:rPr>
                <w:color w:val="1E293B"/>
                <w:sz w:val="19"/>
              </w:rPr>
              <w:t>73.93</w:t>
            </w:r>
          </w:p>
        </w:tc>
        <w:tc>
          <w:tcPr>
            <w:tcW w:type="dxa" w:w="1337"/>
            <w:shd w:fill="FFFFFF"/>
            <w:tcMar>
              <w:top w:w="100" w:type="dxa"/>
              <w:bottom w:w="100" w:type="dxa"/>
              <w:left w:w="140" w:type="dxa"/>
              <w:right w:w="140" w:type="dxa"/>
            </w:tcMar>
          </w:tcPr>
          <w:p>
            <w:pPr>
              <w:jc w:val="left"/>
            </w:pPr>
            <w:r>
              <w:rPr>
                <w:color w:val="1E293B"/>
                <w:sz w:val="19"/>
              </w:rPr>
              <w:t>60.51</w:t>
            </w:r>
          </w:p>
        </w:tc>
      </w:tr>
      <w:tr>
        <w:tc>
          <w:tcPr>
            <w:tcW w:type="dxa" w:w="1337"/>
            <w:shd w:fill="F8FAFC"/>
            <w:tcMar>
              <w:top w:w="100" w:type="dxa"/>
              <w:bottom w:w="100" w:type="dxa"/>
              <w:left w:w="140" w:type="dxa"/>
              <w:right w:w="140" w:type="dxa"/>
            </w:tcMar>
          </w:tcPr>
          <w:p>
            <w:pPr>
              <w:jc w:val="left"/>
            </w:pPr>
            <w:r>
              <w:rPr>
                <w:color w:val="1E293B"/>
                <w:sz w:val="19"/>
              </w:rPr>
              <w:t xml:space="preserve">MLM_80_10_10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86.18</w:t>
            </w:r>
          </w:p>
        </w:tc>
        <w:tc>
          <w:tcPr>
            <w:tcW w:type="dxa" w:w="1337"/>
            <w:shd w:fill="F8FAFC"/>
            <w:tcMar>
              <w:top w:w="100" w:type="dxa"/>
              <w:bottom w:w="100" w:type="dxa"/>
              <w:left w:w="140" w:type="dxa"/>
              <w:right w:w="140" w:type="dxa"/>
            </w:tcMar>
          </w:tcPr>
          <w:p>
            <w:pPr>
              <w:jc w:val="left"/>
            </w:pPr>
            <w:r>
              <w:rPr>
                <w:color w:val="1E293B"/>
                <w:sz w:val="19"/>
              </w:rPr>
              <w:t>61.88</w:t>
            </w:r>
          </w:p>
        </w:tc>
        <w:tc>
          <w:tcPr>
            <w:tcW w:type="dxa" w:w="1337"/>
            <w:shd w:fill="F8FAFC"/>
            <w:tcMar>
              <w:top w:w="100" w:type="dxa"/>
              <w:bottom w:w="100" w:type="dxa"/>
              <w:left w:w="140" w:type="dxa"/>
              <w:right w:w="140" w:type="dxa"/>
            </w:tcMar>
          </w:tcPr>
          <w:p>
            <w:pPr>
              <w:jc w:val="left"/>
            </w:pPr>
            <w:r>
              <w:rPr>
                <w:color w:val="1E293B"/>
                <w:sz w:val="19"/>
              </w:rPr>
              <w:t>72.03</w:t>
            </w:r>
          </w:p>
        </w:tc>
        <w:tc>
          <w:tcPr>
            <w:tcW w:type="dxa" w:w="1337"/>
            <w:shd w:fill="F8FAFC"/>
            <w:tcMar>
              <w:top w:w="100" w:type="dxa"/>
              <w:bottom w:w="100" w:type="dxa"/>
              <w:left w:w="140" w:type="dxa"/>
              <w:right w:w="140" w:type="dxa"/>
            </w:tcMar>
          </w:tcPr>
          <w:p>
            <w:pPr>
              <w:jc w:val="left"/>
            </w:pPr>
            <w:r>
              <w:rPr>
                <w:color w:val="1E293B"/>
                <w:sz w:val="19"/>
              </w:rPr>
              <w:t>70.33</w:t>
            </w:r>
          </w:p>
        </w:tc>
        <w:tc>
          <w:tcPr>
            <w:tcW w:type="dxa" w:w="1337"/>
            <w:shd w:fill="F8FAFC"/>
            <w:tcMar>
              <w:top w:w="100" w:type="dxa"/>
              <w:bottom w:w="100" w:type="dxa"/>
              <w:left w:w="140" w:type="dxa"/>
              <w:right w:w="140" w:type="dxa"/>
            </w:tcMar>
          </w:tcPr>
          <w:p>
            <w:pPr>
              <w:jc w:val="left"/>
            </w:pPr>
            <w:r>
              <w:rPr>
                <w:color w:val="1E293B"/>
                <w:sz w:val="19"/>
              </w:rPr>
              <w:t>82.33</w:t>
            </w:r>
          </w:p>
        </w:tc>
        <w:tc>
          <w:tcPr>
            <w:tcW w:type="dxa" w:w="1337"/>
            <w:shd w:fill="F8FAFC"/>
            <w:tcMar>
              <w:top w:w="100" w:type="dxa"/>
              <w:bottom w:w="100" w:type="dxa"/>
              <w:left w:w="140" w:type="dxa"/>
              <w:right w:w="140" w:type="dxa"/>
            </w:tcMar>
          </w:tcPr>
          <w:p>
            <w:pPr>
              <w:jc w:val="left"/>
            </w:pPr>
            <w:r>
              <w:rPr>
                <w:color w:val="1E293B"/>
                <w:sz w:val="19"/>
              </w:rPr>
              <w:t>75.86</w:t>
            </w:r>
          </w:p>
        </w:tc>
      </w:tr>
      <w:tr>
        <w:tc>
          <w:tcPr>
            <w:tcW w:type="dxa" w:w="1337"/>
            <w:shd w:fill="FFFFFF"/>
            <w:tcMar>
              <w:top w:w="100" w:type="dxa"/>
              <w:bottom w:w="100" w:type="dxa"/>
              <w:left w:w="140" w:type="dxa"/>
              <w:right w:w="140" w:type="dxa"/>
            </w:tcMar>
          </w:tcPr>
          <w:p>
            <w:pPr>
              <w:jc w:val="left"/>
            </w:pPr>
            <w:r>
              <w:rPr>
                <w:color w:val="1E293B"/>
                <w:sz w:val="19"/>
              </w:rPr>
              <w:t xml:space="preserve">MLM_80_0_20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86.31</w:t>
            </w:r>
          </w:p>
        </w:tc>
        <w:tc>
          <w:tcPr>
            <w:tcW w:type="dxa" w:w="1337"/>
            <w:shd w:fill="FFFFFF"/>
            <w:tcMar>
              <w:top w:w="100" w:type="dxa"/>
              <w:bottom w:w="100" w:type="dxa"/>
              <w:left w:w="140" w:type="dxa"/>
              <w:right w:w="140" w:type="dxa"/>
            </w:tcMar>
          </w:tcPr>
          <w:p>
            <w:pPr>
              <w:jc w:val="left"/>
            </w:pPr>
            <w:r>
              <w:rPr>
                <w:color w:val="1E293B"/>
                <w:sz w:val="19"/>
              </w:rPr>
              <w:t>60.05</w:t>
            </w:r>
          </w:p>
        </w:tc>
        <w:tc>
          <w:tcPr>
            <w:tcW w:type="dxa" w:w="1337"/>
            <w:shd w:fill="FFFFFF"/>
            <w:tcMar>
              <w:top w:w="100" w:type="dxa"/>
              <w:bottom w:w="100" w:type="dxa"/>
              <w:left w:w="140" w:type="dxa"/>
              <w:right w:w="140" w:type="dxa"/>
            </w:tcMar>
          </w:tcPr>
          <w:p>
            <w:pPr>
              <w:jc w:val="left"/>
            </w:pPr>
            <w:r>
              <w:rPr>
                <w:color w:val="1E293B"/>
                <w:sz w:val="19"/>
              </w:rPr>
              <w:t>70.82</w:t>
            </w:r>
          </w:p>
        </w:tc>
        <w:tc>
          <w:tcPr>
            <w:tcW w:type="dxa" w:w="1337"/>
            <w:shd w:fill="FFFFFF"/>
            <w:tcMar>
              <w:top w:w="100" w:type="dxa"/>
              <w:bottom w:w="100" w:type="dxa"/>
              <w:left w:w="140" w:type="dxa"/>
              <w:right w:w="140" w:type="dxa"/>
            </w:tcMar>
          </w:tcPr>
          <w:p>
            <w:pPr>
              <w:jc w:val="left"/>
            </w:pPr>
            <w:r>
              <w:rPr>
                <w:color w:val="1E293B"/>
                <w:sz w:val="19"/>
              </w:rPr>
              <w:t>71.85</w:t>
            </w:r>
          </w:p>
        </w:tc>
        <w:tc>
          <w:tcPr>
            <w:tcW w:type="dxa" w:w="1337"/>
            <w:shd w:fill="FFFFFF"/>
            <w:tcMar>
              <w:top w:w="100" w:type="dxa"/>
              <w:bottom w:w="100" w:type="dxa"/>
              <w:left w:w="140" w:type="dxa"/>
              <w:right w:w="140" w:type="dxa"/>
            </w:tcMar>
          </w:tcPr>
          <w:p>
            <w:pPr>
              <w:jc w:val="left"/>
            </w:pPr>
            <w:r>
              <w:rPr>
                <w:color w:val="1E293B"/>
                <w:sz w:val="19"/>
              </w:rPr>
              <w:t>83.47</w:t>
            </w:r>
          </w:p>
        </w:tc>
        <w:tc>
          <w:tcPr>
            <w:tcW w:type="dxa" w:w="1337"/>
            <w:shd w:fill="FFFFFF"/>
            <w:tcMar>
              <w:top w:w="100" w:type="dxa"/>
              <w:bottom w:w="100" w:type="dxa"/>
              <w:left w:w="140" w:type="dxa"/>
              <w:right w:w="140" w:type="dxa"/>
            </w:tcMar>
          </w:tcPr>
          <w:p>
            <w:pPr>
              <w:jc w:val="left"/>
            </w:pPr>
            <w:r>
              <w:rPr>
                <w:color w:val="1E293B"/>
                <w:sz w:val="19"/>
              </w:rPr>
              <w:t>77.23</w:t>
            </w:r>
          </w:p>
        </w:tc>
      </w:tr>
      <w:tr>
        <w:tc>
          <w:tcPr>
            <w:tcW w:type="dxa" w:w="1337"/>
            <w:shd w:fill="F8FAFC"/>
            <w:tcMar>
              <w:top w:w="100" w:type="dxa"/>
              <w:bottom w:w="100" w:type="dxa"/>
              <w:left w:w="140" w:type="dxa"/>
              <w:right w:w="140" w:type="dxa"/>
            </w:tcMar>
          </w:tcPr>
          <w:p>
            <w:pPr>
              <w:jc w:val="left"/>
            </w:pPr>
            <w:r>
              <w:rPr>
                <w:color w:val="1E293B"/>
                <w:sz w:val="19"/>
              </w:rPr>
              <w:t xml:space="preserve">MLM_80_(10_TF_IDF)_10 </w:t>
            </w:r>
            <w:r>
              <w:rPr>
                <w:b/>
                <w:color w:val="1E293B"/>
                <w:sz w:val="19"/>
              </w:rPr>
              <w:t xml:space="preserve"> [10]</w:t>
            </w:r>
          </w:p>
        </w:tc>
        <w:tc>
          <w:tcPr>
            <w:tcW w:type="dxa" w:w="1337"/>
            <w:shd w:fill="F8FAFC"/>
            <w:tcMar>
              <w:top w:w="100" w:type="dxa"/>
              <w:bottom w:w="100" w:type="dxa"/>
              <w:left w:w="140" w:type="dxa"/>
              <w:right w:w="140" w:type="dxa"/>
            </w:tcMar>
          </w:tcPr>
          <w:p>
            <w:pPr>
              <w:jc w:val="left"/>
            </w:pPr>
            <w:r>
              <w:rPr>
                <w:color w:val="1E293B"/>
                <w:sz w:val="19"/>
              </w:rPr>
              <w:t>86.59</w:t>
            </w:r>
          </w:p>
        </w:tc>
        <w:tc>
          <w:tcPr>
            <w:tcW w:type="dxa" w:w="1337"/>
            <w:shd w:fill="F8FAFC"/>
            <w:tcMar>
              <w:top w:w="100" w:type="dxa"/>
              <w:bottom w:w="100" w:type="dxa"/>
              <w:left w:w="140" w:type="dxa"/>
              <w:right w:w="140" w:type="dxa"/>
            </w:tcMar>
          </w:tcPr>
          <w:p>
            <w:pPr>
              <w:jc w:val="left"/>
            </w:pPr>
            <w:r>
              <w:rPr>
                <w:color w:val="1E293B"/>
                <w:sz w:val="19"/>
              </w:rPr>
              <w:t>61.75</w:t>
            </w:r>
          </w:p>
        </w:tc>
        <w:tc>
          <w:tcPr>
            <w:tcW w:type="dxa" w:w="1337"/>
            <w:shd w:fill="F8FAFC"/>
            <w:tcMar>
              <w:top w:w="100" w:type="dxa"/>
              <w:bottom w:w="100" w:type="dxa"/>
              <w:left w:w="140" w:type="dxa"/>
              <w:right w:w="140" w:type="dxa"/>
            </w:tcMar>
          </w:tcPr>
          <w:p>
            <w:pPr>
              <w:jc w:val="left"/>
            </w:pPr>
            <w:r>
              <w:rPr>
                <w:color w:val="1E293B"/>
                <w:sz w:val="19"/>
              </w:rPr>
              <w:t>72.09</w:t>
            </w:r>
          </w:p>
        </w:tc>
        <w:tc>
          <w:tcPr>
            <w:tcW w:type="dxa" w:w="1337"/>
            <w:shd w:fill="F8FAFC"/>
            <w:tcMar>
              <w:top w:w="100" w:type="dxa"/>
              <w:bottom w:w="100" w:type="dxa"/>
              <w:left w:w="140" w:type="dxa"/>
              <w:right w:w="140" w:type="dxa"/>
            </w:tcMar>
          </w:tcPr>
          <w:p>
            <w:pPr>
              <w:jc w:val="left"/>
            </w:pPr>
            <w:r>
              <w:rPr>
                <w:color w:val="1E293B"/>
                <w:sz w:val="19"/>
              </w:rPr>
              <w:t>68.73</w:t>
            </w:r>
          </w:p>
        </w:tc>
        <w:tc>
          <w:tcPr>
            <w:tcW w:type="dxa" w:w="1337"/>
            <w:shd w:fill="F8FAFC"/>
            <w:tcMar>
              <w:top w:w="100" w:type="dxa"/>
              <w:bottom w:w="100" w:type="dxa"/>
              <w:left w:w="140" w:type="dxa"/>
              <w:right w:w="140" w:type="dxa"/>
            </w:tcMar>
          </w:tcPr>
          <w:p>
            <w:pPr>
              <w:jc w:val="left"/>
            </w:pPr>
            <w:r>
              <w:rPr>
                <w:color w:val="1E293B"/>
                <w:sz w:val="19"/>
              </w:rPr>
              <w:t>81.62</w:t>
            </w:r>
          </w:p>
        </w:tc>
        <w:tc>
          <w:tcPr>
            <w:tcW w:type="dxa" w:w="1337"/>
            <w:shd w:fill="F8FAFC"/>
            <w:tcMar>
              <w:top w:w="100" w:type="dxa"/>
              <w:bottom w:w="100" w:type="dxa"/>
              <w:left w:w="140" w:type="dxa"/>
              <w:right w:w="140" w:type="dxa"/>
            </w:tcMar>
          </w:tcPr>
          <w:p>
            <w:pPr>
              <w:jc w:val="left"/>
            </w:pPr>
            <w:r>
              <w:rPr>
                <w:color w:val="1E293B"/>
                <w:sz w:val="19"/>
              </w:rPr>
              <w:t>74.62</w:t>
            </w:r>
          </w:p>
        </w:tc>
      </w:tr>
      <w:tr>
        <w:tc>
          <w:tcPr>
            <w:tcW w:type="dxa" w:w="1337"/>
            <w:shd w:fill="FFFFFF"/>
            <w:tcMar>
              <w:top w:w="100" w:type="dxa"/>
              <w:bottom w:w="100" w:type="dxa"/>
              <w:left w:w="140" w:type="dxa"/>
              <w:right w:w="140" w:type="dxa"/>
            </w:tcMar>
          </w:tcPr>
          <w:p>
            <w:pPr>
              <w:jc w:val="left"/>
            </w:pPr>
            <w:r>
              <w:rPr>
                <w:color w:val="1E293B"/>
                <w:sz w:val="19"/>
              </w:rPr>
              <w:t xml:space="preserve">MLM_80_(20_TF_IDF)_0 </w:t>
            </w:r>
            <w:r>
              <w:rPr>
                <w:b/>
                <w:color w:val="1E293B"/>
                <w:sz w:val="19"/>
              </w:rPr>
              <w:t xml:space="preserve"> [10]</w:t>
            </w:r>
          </w:p>
        </w:tc>
        <w:tc>
          <w:tcPr>
            <w:tcW w:type="dxa" w:w="1337"/>
            <w:shd w:fill="FFFFFF"/>
            <w:tcMar>
              <w:top w:w="100" w:type="dxa"/>
              <w:bottom w:w="100" w:type="dxa"/>
              <w:left w:w="140" w:type="dxa"/>
              <w:right w:w="140" w:type="dxa"/>
            </w:tcMar>
          </w:tcPr>
          <w:p>
            <w:pPr>
              <w:jc w:val="left"/>
            </w:pPr>
            <w:r>
              <w:rPr>
                <w:color w:val="1E293B"/>
                <w:sz w:val="19"/>
              </w:rPr>
              <w:t>86.61</w:t>
            </w:r>
          </w:p>
        </w:tc>
        <w:tc>
          <w:tcPr>
            <w:tcW w:type="dxa" w:w="1337"/>
            <w:shd w:fill="FFFFFF"/>
            <w:tcMar>
              <w:top w:w="100" w:type="dxa"/>
              <w:bottom w:w="100" w:type="dxa"/>
              <w:left w:w="140" w:type="dxa"/>
              <w:right w:w="140" w:type="dxa"/>
            </w:tcMar>
          </w:tcPr>
          <w:p>
            <w:pPr>
              <w:jc w:val="left"/>
            </w:pPr>
            <w:r>
              <w:rPr>
                <w:color w:val="1E293B"/>
                <w:sz w:val="19"/>
              </w:rPr>
              <w:t>61.83</w:t>
            </w:r>
          </w:p>
        </w:tc>
        <w:tc>
          <w:tcPr>
            <w:tcW w:type="dxa" w:w="1337"/>
            <w:shd w:fill="FFFFFF"/>
            <w:tcMar>
              <w:top w:w="100" w:type="dxa"/>
              <w:bottom w:w="100" w:type="dxa"/>
              <w:left w:w="140" w:type="dxa"/>
              <w:right w:w="140" w:type="dxa"/>
            </w:tcMar>
          </w:tcPr>
          <w:p>
            <w:pPr>
              <w:jc w:val="left"/>
            </w:pPr>
            <w:r>
              <w:rPr>
                <w:color w:val="1E293B"/>
                <w:sz w:val="19"/>
              </w:rPr>
              <w:t>72.15</w:t>
            </w:r>
          </w:p>
        </w:tc>
        <w:tc>
          <w:tcPr>
            <w:tcW w:type="dxa" w:w="1337"/>
            <w:shd w:fill="FFFFFF"/>
            <w:tcMar>
              <w:top w:w="100" w:type="dxa"/>
              <w:bottom w:w="100" w:type="dxa"/>
              <w:left w:w="140" w:type="dxa"/>
              <w:right w:w="140" w:type="dxa"/>
            </w:tcMar>
          </w:tcPr>
          <w:p>
            <w:pPr>
              <w:jc w:val="left"/>
            </w:pPr>
            <w:r>
              <w:rPr>
                <w:color w:val="1E293B"/>
                <w:sz w:val="19"/>
              </w:rPr>
              <w:t>67.53</w:t>
            </w:r>
          </w:p>
        </w:tc>
        <w:tc>
          <w:tcPr>
            <w:tcW w:type="dxa" w:w="1337"/>
            <w:shd w:fill="FFFFFF"/>
            <w:tcMar>
              <w:top w:w="100" w:type="dxa"/>
              <w:bottom w:w="100" w:type="dxa"/>
              <w:left w:w="140" w:type="dxa"/>
              <w:right w:w="140" w:type="dxa"/>
            </w:tcMar>
          </w:tcPr>
          <w:p>
            <w:pPr>
              <w:jc w:val="left"/>
            </w:pPr>
            <w:r>
              <w:rPr>
                <w:color w:val="1E293B"/>
                <w:sz w:val="19"/>
              </w:rPr>
              <w:t>81.15</w:t>
            </w:r>
          </w:p>
        </w:tc>
        <w:tc>
          <w:tcPr>
            <w:tcW w:type="dxa" w:w="1337"/>
            <w:shd w:fill="FFFFFF"/>
            <w:tcMar>
              <w:top w:w="100" w:type="dxa"/>
              <w:bottom w:w="100" w:type="dxa"/>
              <w:left w:w="140" w:type="dxa"/>
              <w:right w:w="140" w:type="dxa"/>
            </w:tcMar>
          </w:tcPr>
          <w:p>
            <w:pPr>
              <w:jc w:val="left"/>
            </w:pPr>
            <w:r>
              <w:rPr>
                <w:color w:val="1E293B"/>
                <w:sz w:val="19"/>
              </w:rPr>
              <w:t>73.72</w:t>
            </w:r>
          </w:p>
        </w:tc>
      </w:tr>
    </w:tbl>
    <w:p>
      <w:pPr>
        <w:spacing w:after="120"/>
      </w:pPr>
    </w:p>
    <w:p>
      <w:pPr>
        <w:spacing w:before="40" w:after="120" w:line="276" w:lineRule="auto"/>
      </w:pPr>
      <w:r>
        <w:rPr>
          <w:i/>
        </w:rPr>
        <w:t>(Note: These values represent evaluation metrics reported in Table 8 of the study for fine-tuned models trained from scratch [10].)</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and future directions include using texts from legal professionals' files rather than solely theses to build a more representative corpus, expanding evaluation to multilingual corpora and other NLP downstream tasks (such as question answering and binary text classification), training for multiple epochs instead of a single epoch, adapting TF-IDF token enhancements to operate at the whole-word level, and scaling up the pre-training corpus size </w:t>
      </w:r>
      <w:r>
        <w:rPr>
          <w:b/>
          <w:color w:val="0284C7"/>
          <w:sz w:val="19"/>
        </w:rPr>
        <w:t xml:space="preserve"> [11]</w:t>
      </w:r>
      <w:r>
        <w:t>.</w:t>
      </w:r>
    </w:p>
    <w:p>
      <w:pPr>
        <w:spacing w:before="200" w:after="80"/>
      </w:pPr>
      <w:r>
        <w:rPr>
          <w:rFonts w:ascii="Arial" w:hAnsi="Arial"/>
          <w:b/>
          <w:color w:val="1E293B"/>
          <w:sz w:val="22"/>
        </w:rPr>
        <w:t>1. Core Problem &amp; Objective</w:t>
      </w:r>
    </w:p>
    <w:p>
      <w:pPr>
        <w:spacing w:before="40" w:after="120" w:line="276" w:lineRule="auto"/>
      </w:pPr>
      <w:r>
        <w:t xml:space="preserve">The paper investigates the average dimension of 2-Selmer groups of elliptic curves over multiquadratic extensions (nontrivial finite Galois extensions whose Galois group is an elementary abelian 2-group), seeking to establish upper and lower bounds for this average </w:t>
      </w:r>
      <w:r>
        <w:rPr>
          <w:b/>
          <w:color w:val="0284C7"/>
          <w:sz w:val="19"/>
        </w:rPr>
        <w:t xml:space="preserve"> [12]</w:t>
      </w:r>
      <w:r>
        <w:t xml:space="preserve">, </w:t>
      </w:r>
      <w:r>
        <w:rPr>
          <w:b/>
          <w:color w:val="0284C7"/>
          <w:sz w:val="19"/>
        </w:rPr>
        <w:t xml:space="preserve"> [15]</w:t>
      </w:r>
      <w:r>
        <w:t>.</w:t>
      </w:r>
    </w:p>
    <w:p>
      <w:pPr>
        <w:spacing w:before="200" w:after="80"/>
      </w:pPr>
      <w:r>
        <w:rPr>
          <w:rFonts w:ascii="Arial" w:hAnsi="Arial"/>
          <w:b/>
          <w:color w:val="1E293B"/>
          <w:sz w:val="22"/>
        </w:rPr>
        <w:t>2. Methodology &amp; Architecture</w:t>
      </w:r>
    </w:p>
    <w:p>
      <w:pPr>
        <w:spacing w:before="40" w:after="120" w:line="276" w:lineRule="auto"/>
      </w:pPr>
      <w:r>
        <w:t xml:space="preserve">The study analyzes the genus theory invariant for 2-Selmer groups over multiquadratic fields, utilizing a variant of the Ekedahl sieve for local sums and a systematic study of local norm indices </w:t>
      </w:r>
      <w:r>
        <w:rPr>
          <w:b/>
          <w:color w:val="0284C7"/>
          <w:sz w:val="19"/>
        </w:rPr>
        <w:t xml:space="preserve"> [15]</w:t>
      </w:r>
      <w:r>
        <w:t xml:space="preserve">, </w:t>
      </w:r>
      <w:r>
        <w:rPr>
          <w:b/>
          <w:color w:val="0284C7"/>
          <w:sz w:val="19"/>
        </w:rPr>
        <w:t xml:space="preserve"> [16]</w:t>
      </w:r>
      <w:r>
        <w:t xml:space="preserve">. It incorporates Tate's Algorithm to classify reduction types (Kodaira types) and compute Tamagawa numbers </w:t>
      </w:r>
      <w:r>
        <w:rPr>
          <w:rFonts w:ascii="Cambria Math" w:hAnsi="Cambria Math"/>
          <w:i/>
          <w:color w:val="0F2942"/>
        </w:rPr>
        <w:t xml:space="preserve"> c(E/F) </w:t>
      </w:r>
      <w:r>
        <w:t xml:space="preserve"> based on valuations of curve coefficients </w:t>
      </w:r>
      <w:r>
        <w:rPr>
          <w:rFonts w:ascii="Cambria Math" w:hAnsi="Cambria Math"/>
          <w:i/>
          <w:color w:val="0F2942"/>
        </w:rPr>
        <w:t xml:space="preserve"> A </w:t>
      </w:r>
      <w:r>
        <w:t xml:space="preserve"> and </w:t>
      </w:r>
      <w:r>
        <w:rPr>
          <w:rFonts w:ascii="Cambria Math" w:hAnsi="Cambria Math"/>
          <w:i/>
          <w:color w:val="0F2942"/>
        </w:rPr>
        <w:t xml:space="preserve"> B </w:t>
      </w:r>
      <w:r>
        <w:t xml:space="preserve"> </w:t>
      </w:r>
      <w:r>
        <w:rPr>
          <w:b/>
          <w:color w:val="0284C7"/>
          <w:sz w:val="19"/>
        </w:rPr>
        <w:t xml:space="preserve"> [13]</w:t>
      </w:r>
      <w:r>
        <w:t xml:space="preserve">, </w:t>
      </w:r>
      <w:r>
        <w:rPr>
          <w:b/>
          <w:color w:val="0284C7"/>
          <w:sz w:val="19"/>
        </w:rPr>
        <w:t xml:space="preserve"> [14]</w:t>
      </w:r>
      <w:r>
        <w:t>.</w:t>
      </w:r>
    </w:p>
    <w:p>
      <w:pPr>
        <w:spacing w:before="200" w:after="80"/>
      </w:pPr>
      <w:r>
        <w:rPr>
          <w:rFonts w:ascii="Arial" w:hAnsi="Arial"/>
          <w:b/>
          <w:color w:val="1E293B"/>
          <w:sz w:val="22"/>
        </w:rPr>
        <w:t>3. Experimental Setup &amp; Datasets</w:t>
      </w:r>
    </w:p>
    <w:p>
      <w:pPr>
        <w:spacing w:before="40" w:after="120" w:line="276" w:lineRule="auto"/>
      </w:pPr>
      <w:r>
        <w:t xml:space="preserve">The theoretical framework evaluates families of all elliptic curves defined over </w:t>
      </w:r>
      <w:r>
        <w:rPr>
          <w:rFonts w:ascii="Cambria Math" w:hAnsi="Cambria Math"/>
          <w:i/>
          <w:color w:val="0F2942"/>
        </w:rPr>
        <w:t xml:space="preserve"> mathbbQ </w:t>
      </w:r>
      <w:r>
        <w:t xml:space="preserve"> ordered by naïve height </w:t>
      </w:r>
      <w:r>
        <w:rPr>
          <w:rFonts w:ascii="Cambria Math" w:hAnsi="Cambria Math"/>
          <w:i/>
          <w:color w:val="0F2942"/>
        </w:rPr>
        <w:t xml:space="preserve"> X </w:t>
      </w:r>
      <w:r>
        <w:t xml:space="preserve">, examining limiting behaviors as </w:t>
      </w:r>
      <w:r>
        <w:rPr>
          <w:rFonts w:ascii="Cambria Math" w:hAnsi="Cambria Math"/>
          <w:i/>
          <w:color w:val="0F2942"/>
        </w:rPr>
        <w:t xml:space="preserve"> X to ∞ </w:t>
      </w:r>
      <w:r>
        <w:t xml:space="preserve"> to bound </w:t>
      </w:r>
      <w:r>
        <w:rPr>
          <w:rFonts w:ascii="Cambria Math" w:hAnsi="Cambria Math"/>
          <w:i/>
          <w:color w:val="0F2942"/>
        </w:rPr>
        <w:t xml:space="preserve"> A^+(K) </w:t>
      </w:r>
      <w:r>
        <w:t xml:space="preserve"> (limsup) and </w:t>
      </w:r>
      <w:r>
        <w:rPr>
          <w:rFonts w:ascii="Cambria Math" w:hAnsi="Cambria Math"/>
          <w:i/>
          <w:color w:val="0F2942"/>
        </w:rPr>
        <w:t xml:space="preserve"> A^-(K) </w:t>
      </w:r>
      <w:r>
        <w:t xml:space="preserve"> (liminf) </w:t>
      </w:r>
      <w:r>
        <w:rPr>
          <w:b/>
          <w:color w:val="0284C7"/>
          <w:sz w:val="19"/>
        </w:rPr>
        <w:t xml:space="preserve"> [12]</w:t>
      </w:r>
      <w:r>
        <w:t>.</w:t>
      </w:r>
    </w:p>
    <w:p>
      <w:pPr>
        <w:spacing w:before="200" w:after="80"/>
      </w:pPr>
      <w:r>
        <w:rPr>
          <w:rFonts w:ascii="Arial" w:hAnsi="Arial"/>
          <w:b/>
          <w:color w:val="1E293B"/>
          <w:sz w:val="22"/>
        </w:rPr>
        <w:t>4. Key Findings &amp; Reported Metrics</w:t>
      </w:r>
    </w:p>
    <w:p>
      <w:pPr>
        <w:spacing w:before="40" w:after="120" w:line="276" w:lineRule="auto"/>
      </w:pPr>
      <w:r>
        <w:t xml:space="preserve">The research proves stronger upper bounds for </w:t>
      </w:r>
      <w:r>
        <w:rPr>
          <w:rFonts w:ascii="Cambria Math" w:hAnsi="Cambria Math"/>
          <w:i/>
          <w:color w:val="0F2942"/>
        </w:rPr>
        <w:t xml:space="preserve"> A^+(K) </w:t>
      </w:r>
      <w:r>
        <w:t xml:space="preserve"> and positive lower bounds for </w:t>
      </w:r>
      <w:r>
        <w:rPr>
          <w:rFonts w:ascii="Cambria Math" w:hAnsi="Cambria Math"/>
          <w:i/>
          <w:color w:val="0F2942"/>
        </w:rPr>
        <w:t xml:space="preserve"> A^-(K) </w:t>
      </w:r>
      <w:r>
        <w:t xml:space="preserve"> when </w:t>
      </w:r>
      <w:r>
        <w:rPr>
          <w:rFonts w:ascii="Cambria Math" w:hAnsi="Cambria Math"/>
          <w:i/>
          <w:color w:val="0F2942"/>
        </w:rPr>
        <w:t xml:space="preserve"> K/mathbbQ </w:t>
      </w:r>
      <w:r>
        <w:t xml:space="preserve"> is a multiquadratic extension </w:t>
      </w:r>
      <w:r>
        <w:rPr>
          <w:b/>
          <w:color w:val="0284C7"/>
          <w:sz w:val="19"/>
        </w:rPr>
        <w:t xml:space="preserve"> [12]</w:t>
      </w:r>
      <w:r>
        <w:t xml:space="preserve">. In the special case of quadratic fields, these bounds are shown to be very close (and arbitrarily close for a positive proportion of fields) </w:t>
      </w:r>
      <w:r>
        <w:rPr>
          <w:b/>
          <w:color w:val="0284C7"/>
          <w:sz w:val="19"/>
        </w:rPr>
        <w:t xml:space="preserve"> [12]</w:t>
      </w:r>
      <w:r>
        <w:t xml:space="preserve">, </w:t>
      </w:r>
      <w:r>
        <w:rPr>
          <w:b/>
          <w:color w:val="0284C7"/>
          <w:sz w:val="19"/>
        </w:rPr>
        <w:t xml:space="preserve"> [15]</w:t>
      </w:r>
      <w:r>
        <w:t>.</w:t>
      </w:r>
    </w:p>
    <w:p>
      <w:pPr>
        <w:spacing w:before="200" w:after="80"/>
      </w:pPr>
      <w:r>
        <w:rPr>
          <w:rFonts w:ascii="Arial" w:hAnsi="Arial"/>
          <w:b/>
          <w:color w:val="1E293B"/>
          <w:sz w:val="22"/>
        </w:rPr>
        <w:t>5. Limitations &amp; Open Questions</w:t>
      </w:r>
    </w:p>
    <w:p>
      <w:pPr>
        <w:spacing w:before="40" w:after="120" w:line="276" w:lineRule="auto"/>
      </w:pPr>
      <w:r>
        <w:t xml:space="preserve">While specific failure modes are not explicitly detailed, the author notes that the developed general Ekedahl sieve machine and local sum methodologies are designed to be broadly useful for future number-theoretic applications beyond the immediate scope of multiquadratic extensions </w:t>
      </w:r>
      <w:r>
        <w:rPr>
          <w:b/>
          <w:color w:val="0284C7"/>
          <w:sz w:val="19"/>
        </w:rPr>
        <w:t xml:space="preserve"> [16]</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computational efficiency and performance bottlenecks of transformer attention mechanisms, aiming to combine the efficiency of sparse token selection with the stability and expressiveness of gating mechanisms </w:t>
      </w:r>
      <w:r>
        <w:rPr>
          <w:b/>
          <w:color w:val="0284C7"/>
          <w:sz w:val="19"/>
        </w:rPr>
        <w:t xml:space="preserve"> [18]</w:t>
      </w:r>
      <w:r>
        <w:t xml:space="preserve">, </w:t>
      </w:r>
      <w:r>
        <w:rPr>
          <w:b/>
          <w:color w:val="0284C7"/>
          <w:sz w:val="19"/>
        </w:rPr>
        <w:t xml:space="preserve"> [19]</w:t>
      </w:r>
      <w:r>
        <w:t>.</w:t>
      </w:r>
    </w:p>
    <w:p>
      <w:pPr>
        <w:spacing w:before="200" w:after="80"/>
      </w:pPr>
      <w:r>
        <w:rPr>
          <w:rFonts w:ascii="Arial" w:hAnsi="Arial"/>
          <w:b/>
          <w:color w:val="1E293B"/>
          <w:sz w:val="22"/>
        </w:rPr>
        <w:t>2. Methodology &amp; Architecture</w:t>
      </w:r>
    </w:p>
    <w:p>
      <w:pPr>
        <w:spacing w:before="40" w:after="120" w:line="276" w:lineRule="auto"/>
      </w:pPr>
      <w:r>
        <w:t xml:space="preserve">The paper introduces Gated Sparse Attention (GSA), which rests on three primary components: (i) a gated lightning indexer replacing ReLU scoring with sigmoid units for smooth, probabilistic importance scores; (ii) an adaptive sparsity controller that modulates the selection budget </w:t>
      </w:r>
      <w:r>
        <w:rPr>
          <w:rFonts w:ascii="Cambria Math" w:hAnsi="Cambria Math"/>
          <w:i/>
          <w:color w:val="0F2942"/>
        </w:rPr>
        <w:t xml:space="preserve"> k_t </w:t>
      </w:r>
      <w:r>
        <w:t xml:space="preserve"> based on score variance; and (iii) dual gating applied to values before aggregation (</w:t>
      </w:r>
      <w:r>
        <w:rPr>
          <w:rFonts w:ascii="Cambria Math" w:hAnsi="Cambria Math"/>
          <w:i/>
          <w:color w:val="0F2942"/>
        </w:rPr>
        <w:t xml:space="preserve"> G_2 </w:t>
      </w:r>
      <w:r>
        <w:t>) and outputs after scaled dot-product attention (</w:t>
      </w:r>
      <w:r>
        <w:rPr>
          <w:rFonts w:ascii="Cambria Math" w:hAnsi="Cambria Math"/>
          <w:i/>
          <w:color w:val="0F2942"/>
        </w:rPr>
        <w:t xml:space="preserve"> G_1 </w:t>
      </w:r>
      <w:r>
        <w:t xml:space="preserve">) </w:t>
      </w:r>
      <w:r>
        <w:rPr>
          <w:b/>
          <w:color w:val="0284C7"/>
          <w:sz w:val="19"/>
        </w:rPr>
        <w:t xml:space="preserve"> [19]</w:t>
      </w:r>
      <w:r>
        <w:t xml:space="preserve">. Learning-rate multipliers are set at </w:t>
      </w:r>
      <w:r>
        <w:rPr>
          <w:rFonts w:ascii="Cambria Math" w:hAnsi="Cambria Math"/>
          <w:i/>
          <w:color w:val="0F2942"/>
        </w:rPr>
        <w:t xml:space="preserve"> 1 ×  </w:t>
      </w:r>
      <w:r>
        <w:t xml:space="preserve"> for the base model, </w:t>
      </w:r>
      <w:r>
        <w:rPr>
          <w:rFonts w:ascii="Cambria Math" w:hAnsi="Cambria Math"/>
          <w:i/>
          <w:color w:val="0F2942"/>
        </w:rPr>
        <w:t xml:space="preserve"> 10 ×  </w:t>
      </w:r>
      <w:r>
        <w:t xml:space="preserve"> for the indexer, and </w:t>
      </w:r>
      <w:r>
        <w:rPr>
          <w:rFonts w:ascii="Cambria Math" w:hAnsi="Cambria Math"/>
          <w:i/>
          <w:color w:val="0F2942"/>
        </w:rPr>
        <w:t xml:space="preserve"> 1 ×  </w:t>
      </w:r>
      <w:r>
        <w:t xml:space="preserve"> for the gates </w:t>
      </w:r>
      <w:r>
        <w:rPr>
          <w:b/>
          <w:color w:val="0284C7"/>
          <w:sz w:val="19"/>
        </w:rPr>
        <w:t xml:space="preserve"> [17]</w:t>
      </w:r>
      <w:r>
        <w:t>.</w:t>
      </w:r>
    </w:p>
    <w:p>
      <w:pPr>
        <w:spacing w:before="200" w:after="80"/>
      </w:pPr>
      <w:r>
        <w:rPr>
          <w:rFonts w:ascii="Arial" w:hAnsi="Arial"/>
          <w:b/>
          <w:color w:val="1E293B"/>
          <w:sz w:val="22"/>
        </w:rPr>
        <w:t>3. Experimental Setup &amp; Datasets</w:t>
      </w:r>
    </w:p>
    <w:p>
      <w:pPr>
        <w:spacing w:before="40" w:after="120" w:line="276" w:lineRule="auto"/>
      </w:pPr>
      <w:r>
        <w:t xml:space="preserve">Models with 1.7B parameters (24 layers, hidden dimension 2048, 16 query heads, 4 key-value heads, SwiGLU feed-forward blocks of width 5504) were trained from scratch on 400B tokens from SlimPajama with a 4K context window (extended to 128K via YaRN positional interpolation) </w:t>
      </w:r>
      <w:r>
        <w:rPr>
          <w:b/>
          <w:color w:val="0284C7"/>
          <w:sz w:val="19"/>
        </w:rPr>
        <w:t xml:space="preserve"> [17]</w:t>
      </w:r>
      <w:r>
        <w:t xml:space="preserve">. Evaluations used WikiText-103, C4, and five downstream benchmarks including MMLU and GSM8K </w:t>
      </w:r>
      <w:r>
        <w:rPr>
          <w:b/>
          <w:color w:val="0284C7"/>
          <w:sz w:val="19"/>
        </w:rPr>
        <w:t xml:space="preserve"> [17]</w:t>
      </w:r>
      <w:r>
        <w:t>.</w:t>
      </w:r>
    </w:p>
    <w:p>
      <w:pPr>
        <w:spacing w:before="200" w:after="80"/>
      </w:pPr>
      <w:r>
        <w:rPr>
          <w:rFonts w:ascii="Arial" w:hAnsi="Arial"/>
          <w:b/>
          <w:color w:val="1E293B"/>
          <w:sz w:val="22"/>
        </w:rPr>
        <w:t>4. Key Findings &amp; Reported Metrics</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 / Architecture</w:t>
            </w:r>
          </w:p>
        </w:tc>
        <w:tc>
          <w:tcPr>
            <w:tcW w:type="dxa" w:w="3120"/>
            <w:shd w:fill="0F2942"/>
            <w:tcMar>
              <w:top w:w="120" w:type="dxa"/>
              <w:bottom w:w="120" w:type="dxa"/>
              <w:left w:w="140" w:type="dxa"/>
              <w:right w:w="140" w:type="dxa"/>
            </w:tcMar>
          </w:tcPr>
          <w:p>
            <w:pPr>
              <w:jc w:val="left"/>
            </w:pPr>
            <w:r>
              <w:rPr>
                <w:b/>
                <w:color w:val="FFFFFF"/>
                <w:sz w:val="19"/>
              </w:rPr>
              <w:t>WikiText-103 Perplexity (Lower is better)</w:t>
            </w:r>
          </w:p>
        </w:tc>
        <w:tc>
          <w:tcPr>
            <w:tcW w:type="dxa" w:w="3120"/>
            <w:shd w:fill="0F2942"/>
            <w:tcMar>
              <w:top w:w="120" w:type="dxa"/>
              <w:bottom w:w="120" w:type="dxa"/>
              <w:left w:w="140" w:type="dxa"/>
              <w:right w:w="140" w:type="dxa"/>
            </w:tcMar>
          </w:tcPr>
          <w:p>
            <w:pPr>
              <w:jc w:val="left"/>
            </w:pPr>
            <w:r>
              <w:rPr>
                <w:b/>
                <w:color w:val="FFFFFF"/>
                <w:sz w:val="19"/>
              </w:rPr>
              <w:t>C4 Perplexity (Lower is better)</w:t>
            </w:r>
          </w:p>
        </w:tc>
      </w:tr>
      <w:tr>
        <w:tc>
          <w:tcPr>
            <w:tcW w:type="dxa" w:w="3120"/>
            <w:shd w:fill="F8FAFC"/>
            <w:tcMar>
              <w:top w:w="100" w:type="dxa"/>
              <w:bottom w:w="100" w:type="dxa"/>
              <w:left w:w="140" w:type="dxa"/>
              <w:right w:w="140" w:type="dxa"/>
            </w:tcMar>
          </w:tcPr>
          <w:p>
            <w:pPr>
              <w:jc w:val="left"/>
            </w:pPr>
            <w:r>
              <w:rPr>
                <w:color w:val="1E293B"/>
                <w:sz w:val="19"/>
              </w:rPr>
              <w:t xml:space="preserve">Standard </w:t>
            </w:r>
            <w:r>
              <w:rPr>
                <w:b/>
                <w:color w:val="1E293B"/>
                <w:sz w:val="19"/>
              </w:rPr>
              <w:t xml:space="preserve"> [17]</w:t>
            </w:r>
          </w:p>
        </w:tc>
        <w:tc>
          <w:tcPr>
            <w:tcW w:type="dxa" w:w="3120"/>
            <w:shd w:fill="F8FAFC"/>
            <w:tcMar>
              <w:top w:w="100" w:type="dxa"/>
              <w:bottom w:w="100" w:type="dxa"/>
              <w:left w:w="140" w:type="dxa"/>
              <w:right w:w="140" w:type="dxa"/>
            </w:tcMar>
          </w:tcPr>
          <w:p>
            <w:pPr>
              <w:jc w:val="left"/>
            </w:pPr>
            <w:r>
              <w:rPr>
                <w:color w:val="1E293B"/>
                <w:sz w:val="19"/>
              </w:rPr>
              <w:t>6.03</w:t>
            </w:r>
          </w:p>
        </w:tc>
        <w:tc>
          <w:tcPr>
            <w:tcW w:type="dxa" w:w="3120"/>
            <w:shd w:fill="F8FAFC"/>
            <w:tcMar>
              <w:top w:w="100" w:type="dxa"/>
              <w:bottom w:w="100" w:type="dxa"/>
              <w:left w:w="140" w:type="dxa"/>
              <w:right w:w="140" w:type="dxa"/>
            </w:tcMar>
          </w:tcPr>
          <w:p>
            <w:pPr>
              <w:jc w:val="left"/>
            </w:pPr>
            <w:r>
              <w:rPr>
                <w:color w:val="1E293B"/>
                <w:sz w:val="19"/>
              </w:rPr>
              <w:t>7.82</w:t>
            </w:r>
          </w:p>
        </w:tc>
      </w:tr>
      <w:tr>
        <w:tc>
          <w:tcPr>
            <w:tcW w:type="dxa" w:w="3120"/>
            <w:shd w:fill="FFFFFF"/>
            <w:tcMar>
              <w:top w:w="100" w:type="dxa"/>
              <w:bottom w:w="100" w:type="dxa"/>
              <w:left w:w="140" w:type="dxa"/>
              <w:right w:w="140" w:type="dxa"/>
            </w:tcMar>
          </w:tcPr>
          <w:p>
            <w:pPr>
              <w:jc w:val="left"/>
            </w:pPr>
            <w:r>
              <w:rPr>
                <w:color w:val="1E293B"/>
                <w:sz w:val="19"/>
              </w:rPr>
              <w:t xml:space="preserve">Sparse only </w:t>
            </w:r>
            <w:r>
              <w:rPr>
                <w:b/>
                <w:color w:val="1E293B"/>
                <w:sz w:val="19"/>
              </w:rPr>
              <w:t xml:space="preserve"> [17]</w:t>
            </w:r>
          </w:p>
        </w:tc>
        <w:tc>
          <w:tcPr>
            <w:tcW w:type="dxa" w:w="3120"/>
            <w:shd w:fill="FFFFFF"/>
            <w:tcMar>
              <w:top w:w="100" w:type="dxa"/>
              <w:bottom w:w="100" w:type="dxa"/>
              <w:left w:w="140" w:type="dxa"/>
              <w:right w:w="140" w:type="dxa"/>
            </w:tcMar>
          </w:tcPr>
          <w:p>
            <w:pPr>
              <w:jc w:val="left"/>
            </w:pPr>
            <w:r>
              <w:rPr>
                <w:color w:val="1E293B"/>
                <w:sz w:val="19"/>
              </w:rPr>
              <w:t>6.02</w:t>
            </w:r>
          </w:p>
        </w:tc>
        <w:tc>
          <w:tcPr>
            <w:tcW w:type="dxa" w:w="3120"/>
            <w:shd w:fill="FFFFFF"/>
            <w:tcMar>
              <w:top w:w="100" w:type="dxa"/>
              <w:bottom w:w="100" w:type="dxa"/>
              <w:left w:w="140" w:type="dxa"/>
              <w:right w:w="140" w:type="dxa"/>
            </w:tcMar>
          </w:tcPr>
          <w:p>
            <w:pPr>
              <w:jc w:val="left"/>
            </w:pPr>
            <w:r>
              <w:rPr>
                <w:color w:val="1E293B"/>
                <w:sz w:val="19"/>
              </w:rPr>
              <w:t>7.79</w:t>
            </w:r>
          </w:p>
        </w:tc>
      </w:tr>
      <w:tr>
        <w:tc>
          <w:tcPr>
            <w:tcW w:type="dxa" w:w="3120"/>
            <w:shd w:fill="F8FAFC"/>
            <w:tcMar>
              <w:top w:w="100" w:type="dxa"/>
              <w:bottom w:w="100" w:type="dxa"/>
              <w:left w:w="140" w:type="dxa"/>
              <w:right w:w="140" w:type="dxa"/>
            </w:tcMar>
          </w:tcPr>
          <w:p>
            <w:pPr>
              <w:jc w:val="left"/>
            </w:pPr>
            <w:r>
              <w:rPr>
                <w:color w:val="1E293B"/>
                <w:sz w:val="19"/>
              </w:rPr>
              <w:t xml:space="preserve">Gated only </w:t>
            </w:r>
            <w:r>
              <w:rPr>
                <w:b/>
                <w:color w:val="1E293B"/>
                <w:sz w:val="19"/>
              </w:rPr>
              <w:t xml:space="preserve"> [17]</w:t>
            </w:r>
          </w:p>
        </w:tc>
        <w:tc>
          <w:tcPr>
            <w:tcW w:type="dxa" w:w="3120"/>
            <w:shd w:fill="F8FAFC"/>
            <w:tcMar>
              <w:top w:w="100" w:type="dxa"/>
              <w:bottom w:w="100" w:type="dxa"/>
              <w:left w:w="140" w:type="dxa"/>
              <w:right w:w="140" w:type="dxa"/>
            </w:tcMar>
          </w:tcPr>
          <w:p>
            <w:pPr>
              <w:jc w:val="left"/>
            </w:pPr>
            <w:r>
              <w:rPr>
                <w:color w:val="1E293B"/>
                <w:sz w:val="19"/>
              </w:rPr>
              <w:t>5.76</w:t>
            </w:r>
          </w:p>
        </w:tc>
        <w:tc>
          <w:tcPr>
            <w:tcW w:type="dxa" w:w="3120"/>
            <w:shd w:fill="F8FAFC"/>
            <w:tcMar>
              <w:top w:w="100" w:type="dxa"/>
              <w:bottom w:w="100" w:type="dxa"/>
              <w:left w:w="140" w:type="dxa"/>
              <w:right w:w="140" w:type="dxa"/>
            </w:tcMar>
          </w:tcPr>
          <w:p>
            <w:pPr>
              <w:jc w:val="left"/>
            </w:pPr>
            <w:r>
              <w:rPr>
                <w:color w:val="1E293B"/>
                <w:sz w:val="19"/>
              </w:rPr>
              <w:t>7.45</w:t>
            </w:r>
          </w:p>
        </w:tc>
      </w:tr>
      <w:tr>
        <w:tc>
          <w:tcPr>
            <w:tcW w:type="dxa" w:w="3120"/>
            <w:shd w:fill="FFFFFF"/>
            <w:tcMar>
              <w:top w:w="100" w:type="dxa"/>
              <w:bottom w:w="100" w:type="dxa"/>
              <w:left w:w="140" w:type="dxa"/>
              <w:right w:w="140" w:type="dxa"/>
            </w:tcMar>
          </w:tcPr>
          <w:p>
            <w:pPr>
              <w:jc w:val="left"/>
            </w:pPr>
            <w:r>
              <w:rPr>
                <w:color w:val="1E293B"/>
                <w:sz w:val="19"/>
              </w:rPr>
              <w:t xml:space="preserve">GSA </w:t>
            </w:r>
            <w:r>
              <w:rPr>
                <w:b/>
                <w:color w:val="1E293B"/>
                <w:sz w:val="19"/>
              </w:rPr>
              <w:t xml:space="preserve"> [17]</w:t>
            </w:r>
          </w:p>
        </w:tc>
        <w:tc>
          <w:tcPr>
            <w:tcW w:type="dxa" w:w="3120"/>
            <w:shd w:fill="FFFFFF"/>
            <w:tcMar>
              <w:top w:w="100" w:type="dxa"/>
              <w:bottom w:w="100" w:type="dxa"/>
              <w:left w:w="140" w:type="dxa"/>
              <w:right w:w="140" w:type="dxa"/>
            </w:tcMar>
          </w:tcPr>
          <w:p>
            <w:pPr>
              <w:jc w:val="left"/>
            </w:pPr>
            <w:r>
              <w:rPr>
                <w:color w:val="1E293B"/>
                <w:sz w:val="19"/>
              </w:rPr>
              <w:t>5.70</w:t>
            </w:r>
          </w:p>
        </w:tc>
        <w:tc>
          <w:tcPr>
            <w:tcW w:type="dxa" w:w="3120"/>
            <w:shd w:fill="FFFFFF"/>
            <w:tcMar>
              <w:top w:w="100" w:type="dxa"/>
              <w:bottom w:w="100" w:type="dxa"/>
              <w:left w:w="140" w:type="dxa"/>
              <w:right w:w="140" w:type="dxa"/>
            </w:tcMar>
          </w:tcPr>
          <w:p>
            <w:pPr>
              <w:jc w:val="left"/>
            </w:pPr>
            <w:r>
              <w:rPr>
                <w:color w:val="1E293B"/>
                <w:sz w:val="19"/>
              </w:rPr>
              <w:t>7.38</w:t>
            </w:r>
          </w:p>
        </w:tc>
      </w:tr>
    </w:tbl>
    <w:p>
      <w:pPr>
        <w:spacing w:after="120"/>
      </w:pPr>
    </w:p>
    <w:p>
      <w:pPr>
        <w:spacing w:before="40" w:after="120" w:line="276" w:lineRule="auto"/>
      </w:pPr>
      <w:r>
        <w:rPr>
          <w:i/>
        </w:rPr>
        <w:t>(Note: Perplexity scores from Table 4 of the study show that GSA achieves the lowest perplexity across both datasets [17].)</w:t>
      </w:r>
      <w:r>
        <w:t xml:space="preserve"> GSA also led across five downstream benchmarks, yielding the largest accuracy gains on MMLU (+2.6 points over standard) and GSM8K (+3.1 points) </w:t>
      </w:r>
      <w:r>
        <w:rPr>
          <w:b/>
          <w:color w:val="0284C7"/>
          <w:sz w:val="19"/>
        </w:rPr>
        <w:t xml:space="preserve"> [17]</w:t>
      </w:r>
      <w:r>
        <w:t xml:space="preserve">. Throughput improved by an order of magnitude at a 128K context window </w:t>
      </w:r>
      <w:r>
        <w:rPr>
          <w:b/>
          <w:color w:val="0284C7"/>
          <w:sz w:val="19"/>
        </w:rPr>
        <w:t xml:space="preserve"> [18]</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(i) indexer overhead exceeding sparse attention savings for short sequences below roughly 4K tokens; (ii) </w:t>
      </w:r>
      <w:r>
        <w:rPr>
          <w:rFonts w:ascii="Cambria Math" w:hAnsi="Cambria Math"/>
          <w:i/>
          <w:color w:val="0F2942"/>
        </w:rPr>
        <w:t xml:space="preserve"> O(L^2) </w:t>
      </w:r>
      <w:r>
        <w:t xml:space="preserve"> scaling of the indexer eventually dominating at extreme lengths beyond 1M tokens; (iii) implementation complexity added by the two-phase training schedule; and (iv) new hyperparameters (</w:t>
      </w:r>
      <w:r>
        <w:rPr>
          <w:rFonts w:ascii="Cambria Math" w:hAnsi="Cambria Math"/>
          <w:i/>
          <w:color w:val="0F2942"/>
        </w:rPr>
        <w:t xml:space="preserve"> k_{textbase} </w:t>
      </w:r>
      <w:r>
        <w:t xml:space="preserve">, </w:t>
      </w:r>
      <w:r>
        <w:rPr>
          <w:rFonts w:ascii="Cambria Math" w:hAnsi="Cambria Math"/>
          <w:i/>
          <w:color w:val="0F2942"/>
        </w:rPr>
        <w:t xml:space="preserve"> d_I </w:t>
      </w:r>
      <w:r>
        <w:t xml:space="preserve">, and gate initialization) requiring tuning when adapting to new domains or model scales </w:t>
      </w:r>
      <w:r>
        <w:rPr>
          <w:b/>
          <w:color w:val="0284C7"/>
          <w:sz w:val="19"/>
        </w:rPr>
        <w:t xml:space="preserve"> [18]</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[5]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[8]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11–12. </w:t>
      </w:r>
      <w:hyperlink r:id="rId18">
        <w:r>
          <w:rPr>
            <w:color w:val="0284C7"/>
            <w:u w:val="single"/>
          </w:rPr>
          <w:t>Open source PDF</w:t>
        </w:r>
      </w:hyperlink>
    </w:p>
    <w:p>
      <w:pPr>
        <w:spacing w:before="40" w:after="80"/>
        <w:ind w:left="432"/>
      </w:pPr>
      <w:r>
        <w:rPr>
          <w:b/>
          <w:color w:val="0284C7"/>
        </w:rPr>
        <w:t xml:space="preserve">[9]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9">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9">
        <w:r>
          <w:rPr>
            <w:color w:val="0284C7"/>
            <w:u w:val="single"/>
          </w:rPr>
          <w:t>Open source PDF</w:t>
        </w:r>
      </w:hyperlink>
    </w:p>
    <w:p>
      <w:pPr>
        <w:spacing w:before="40" w:after="80"/>
        <w:ind w:left="432"/>
      </w:pPr>
      <w:r>
        <w:rPr>
          <w:b/>
          <w:color w:val="0284C7"/>
        </w:rPr>
        <w:t xml:space="preserve">[11]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20">
        <w:r>
          <w:rPr>
            <w:color w:val="0284C7"/>
            <w:u w:val="single"/>
          </w:rPr>
          <w:t>Open source PDF</w:t>
        </w:r>
      </w:hyperlink>
    </w:p>
    <w:p>
      <w:pPr>
        <w:spacing w:before="40" w:after="80"/>
        <w:ind w:left="432"/>
      </w:pPr>
      <w:r>
        <w:rPr>
          <w:b/>
          <w:color w:val="0284C7"/>
        </w:rPr>
        <w:t xml:space="preserve">[12]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1">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2">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2">
        <w:r>
          <w:rPr>
            <w:color w:val="0284C7"/>
            <w:u w:val="single"/>
          </w:rPr>
          <w:t>Open source PDF</w:t>
        </w:r>
      </w:hyperlink>
    </w:p>
    <w:p>
      <w:pPr>
        <w:spacing w:before="40" w:after="80"/>
        <w:ind w:left="432"/>
      </w:pPr>
      <w:r>
        <w:rPr>
          <w:b/>
          <w:color w:val="0284C7"/>
        </w:rPr>
        <w:t xml:space="preserve">[15]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1">
        <w:r>
          <w:rPr>
            <w:color w:val="0284C7"/>
            <w:u w:val="single"/>
          </w:rPr>
          <w:t>Open source PDF</w:t>
        </w:r>
      </w:hyperlink>
    </w:p>
    <w:p>
      <w:pPr>
        <w:spacing w:before="40" w:after="80"/>
        <w:ind w:left="432"/>
      </w:pPr>
      <w:r>
        <w:rPr>
          <w:b/>
          <w:color w:val="0284C7"/>
        </w:rPr>
        <w:t xml:space="preserve">[16]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3">
        <w:r>
          <w:rPr>
            <w:color w:val="0284C7"/>
            <w:u w:val="single"/>
          </w:rPr>
          <w:t>Open source PDF</w:t>
        </w:r>
      </w:hyperlink>
    </w:p>
    <w:p>
      <w:pPr>
        <w:spacing w:before="40" w:after="80"/>
        <w:ind w:left="432"/>
      </w:pPr>
      <w:r>
        <w:rPr>
          <w:b/>
          <w:color w:val="0284C7"/>
        </w:rPr>
        <w:t xml:space="preserve">[17]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4">
        <w:r>
          <w:rPr>
            <w:color w:val="0284C7"/>
            <w:u w:val="single"/>
          </w:rPr>
          <w:t>Open source PDF</w:t>
        </w:r>
      </w:hyperlink>
    </w:p>
    <w:p>
      <w:pPr>
        <w:spacing w:before="40" w:after="80"/>
        <w:ind w:left="432"/>
      </w:pPr>
      <w:r>
        <w:rPr>
          <w:b/>
          <w:color w:val="0284C7"/>
        </w:rPr>
        <w:t xml:space="preserve">[18]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5">
        <w:r>
          <w:rPr>
            <w:color w:val="0284C7"/>
            <w:u w:val="single"/>
          </w:rPr>
          <w:t>Open source PDF</w:t>
        </w:r>
      </w:hyperlink>
    </w:p>
    <w:p>
      <w:pPr>
        <w:spacing w:before="40" w:after="80"/>
        <w:ind w:left="432"/>
      </w:pPr>
      <w:r>
        <w:rPr>
          <w:b/>
          <w:color w:val="0284C7"/>
        </w:rPr>
        <w:t xml:space="preserve">[19]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6">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407.00648v1.pdf#page=11" TargetMode="External"/><Relationship Id="rId19" Type="http://schemas.openxmlformats.org/officeDocument/2006/relationships/hyperlink" Target="https://arxiv.org/pdf/2407.00648v1.pdf#page=7" TargetMode="External"/><Relationship Id="rId20" Type="http://schemas.openxmlformats.org/officeDocument/2006/relationships/hyperlink" Target="https://arxiv.org/pdf/2407.00648v1.pdf#page=10" TargetMode="External"/><Relationship Id="rId21" Type="http://schemas.openxmlformats.org/officeDocument/2006/relationships/hyperlink" Target="https://arxiv.org/pdf/2401.08828.pdf#page=1" TargetMode="External"/><Relationship Id="rId22" Type="http://schemas.openxmlformats.org/officeDocument/2006/relationships/hyperlink" Target="https://arxiv.org/pdf/2401.08828.pdf#page=31" TargetMode="External"/><Relationship Id="rId23" Type="http://schemas.openxmlformats.org/officeDocument/2006/relationships/hyperlink" Target="https://arxiv.org/pdf/2401.08828.pdf#page=4" TargetMode="External"/><Relationship Id="rId24" Type="http://schemas.openxmlformats.org/officeDocument/2006/relationships/hyperlink" Target="https://arxiv.org/pdf/2601.15305v1.pdf#page=9" TargetMode="External"/><Relationship Id="rId25" Type="http://schemas.openxmlformats.org/officeDocument/2006/relationships/hyperlink" Target="https://arxiv.org/pdf/2601.15305v1.pdf#page=11" TargetMode="External"/><Relationship Id="rId26"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