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2942"/>
          <w:sz w:val="44"/>
        </w:rPr>
        <w:t>Academic Literature Summary</w:t>
      </w:r>
    </w:p>
    <w:p>
      <w:pPr>
        <w:spacing w:before="0" w:after="320"/>
      </w:pPr>
      <w:r>
        <w:rPr>
          <w:b/>
          <w:color w:val="0284C7"/>
          <w:sz w:val="19"/>
        </w:rPr>
        <w:t xml:space="preserve">PAPER SUMMARY   |   </w:t>
      </w:r>
      <w:r>
        <w:rPr>
          <w:color w:val="64748B"/>
          <w:sz w:val="19"/>
        </w:rPr>
        <w:t>Date: October 26, 2026</w:t>
      </w:r>
    </w:p>
    <w:p>
      <w:pPr>
        <w:spacing w:before="0" w:after="280"/>
      </w:pPr>
      <w:r>
        <w:rPr>
          <w:i/>
          <w:color w:val="64748B"/>
          <w:sz w:val="20"/>
        </w:rPr>
        <w:t>Scope: Structured executive summary across 5 analyzed papers</w:t>
      </w:r>
    </w:p>
    <w:p>
      <w:pPr>
        <w:spacing w:before="0" w:after="280"/>
      </w:pPr>
      <w:r>
        <w:rPr>
          <w:color w:val="64748B"/>
          <w:sz w:val="18"/>
        </w:rPr>
        <w:t>――――――――――――――――――――――――――――――――――――――――――――――――――――</w:t>
      </w:r>
    </w:p>
    <w:p>
      <w:pPr>
        <w:spacing w:before="280" w:after="80"/>
      </w:pPr>
      <w:r>
        <w:rPr>
          <w:rFonts w:ascii="Arial" w:hAnsi="Arial"/>
          <w:b/>
          <w:color w:val="0F2942"/>
          <w:sz w:val="28"/>
        </w:rPr>
        <w:t>Overview</w:t>
      </w:r>
    </w:p>
    <w:p>
      <w:pPr>
        <w:spacing w:before="40" w:after="120" w:line="276" w:lineRule="auto"/>
      </w:pPr>
      <w:r>
        <w:t>Here is the comprehensive, structured summary of all analyzed research papers based strictly on the provided evidence.</w:t>
      </w:r>
    </w:p>
    <w:p>
      <w:pPr>
        <w:spacing w:before="200" w:after="80"/>
      </w:pPr>
      <w:r>
        <w:rPr>
          <w:rFonts w:ascii="Arial" w:hAnsi="Arial"/>
          <w:b/>
          <w:color w:val="0284C7"/>
          <w:sz w:val="24"/>
        </w:rPr>
        <w:t>Paper 1. Transformer Models for Text Summarization: A Comparative Study</w:t>
      </w:r>
    </w:p>
    <w:p>
      <w:pPr>
        <w:spacing w:before="200" w:after="80"/>
      </w:pPr>
      <w:r>
        <w:rPr>
          <w:rFonts w:ascii="Arial" w:hAnsi="Arial"/>
          <w:b/>
          <w:color w:val="1E293B"/>
          <w:sz w:val="22"/>
        </w:rPr>
        <w:t>1. Core Problem &amp; Objective</w:t>
      </w:r>
    </w:p>
    <w:p>
      <w:pPr>
        <w:spacing w:before="40" w:after="120" w:line="276" w:lineRule="auto"/>
      </w:pPr>
      <w:r>
        <w:t xml:space="preserve">The paper addresses the need for a focused comparative evaluation of specific transformer architectures (BERT, RoBERTa, and BART) in Automatic Text Summarization (ATS) </w:t>
      </w:r>
      <w:r>
        <w:rPr>
          <w:b/>
          <w:color w:val="0284C7"/>
          <w:sz w:val="19"/>
        </w:rPr>
        <w:t xml:space="preserve"> [1]</w:t>
      </w:r>
      <w:r>
        <w:t xml:space="preserve">. While prior surveys provide broad overviews, there is limited analysis regarding how differences in model design—such as encoder-only versus encoder-decoder structures and pretraining objectives—impact effectiveness in extractive and abstractive summarization </w:t>
      </w:r>
      <w:r>
        <w:rPr>
          <w:b/>
          <w:color w:val="0284C7"/>
          <w:sz w:val="19"/>
        </w:rPr>
        <w:t xml:space="preserve"> [1]</w:t>
      </w:r>
      <w:r>
        <w:t>.</w:t>
      </w:r>
    </w:p>
    <w:p>
      <w:pPr>
        <w:spacing w:before="200" w:after="80"/>
      </w:pPr>
      <w:r>
        <w:rPr>
          <w:rFonts w:ascii="Arial" w:hAnsi="Arial"/>
          <w:b/>
          <w:color w:val="1E293B"/>
          <w:sz w:val="22"/>
        </w:rPr>
        <w:t>2. Methodology &amp; Architecture</w:t>
      </w:r>
    </w:p>
    <w:p>
      <w:pPr>
        <w:spacing w:before="40" w:after="120" w:line="276" w:lineRule="auto"/>
      </w:pPr>
      <w:r>
        <w:t xml:space="preserve">The study evaluates three primary transformer-based models under a consistent experimental setting </w:t>
      </w:r>
      <w:r>
        <w:rPr>
          <w:b/>
          <w:color w:val="0284C7"/>
          <w:sz w:val="19"/>
        </w:rPr>
        <w:t xml:space="preserve"> [2]</w:t>
      </w:r>
      <w:r>
        <w:t xml:space="preserve">. BERT utilizes bidirectional contextual representations for extractive tasks </w:t>
      </w:r>
      <w:r>
        <w:rPr>
          <w:b/>
          <w:color w:val="0284C7"/>
          <w:sz w:val="19"/>
        </w:rPr>
        <w:t xml:space="preserve"> [1]</w:t>
      </w:r>
      <w:r>
        <w:t xml:space="preserve">; RoBERTa enhances BERT through optimized pretraining strategies and larger datasets </w:t>
      </w:r>
      <w:r>
        <w:rPr>
          <w:b/>
          <w:color w:val="0284C7"/>
          <w:sz w:val="19"/>
        </w:rPr>
        <w:t xml:space="preserve"> [1]</w:t>
      </w:r>
      <w:r>
        <w:t xml:space="preserve">; and BART incorporates an encoder-decoder framework designed for generative tasks like abstractive summarization </w:t>
      </w:r>
      <w:r>
        <w:rPr>
          <w:b/>
          <w:color w:val="0284C7"/>
          <w:sz w:val="19"/>
        </w:rPr>
        <w:t xml:space="preserve"> [1]</w:t>
      </w:r>
      <w:r>
        <w:t>.</w:t>
      </w:r>
    </w:p>
    <w:p>
      <w:pPr>
        <w:spacing w:before="200" w:after="80"/>
      </w:pPr>
      <w:r>
        <w:rPr>
          <w:rFonts w:ascii="Arial" w:hAnsi="Arial"/>
          <w:b/>
          <w:color w:val="1E293B"/>
          <w:sz w:val="22"/>
        </w:rPr>
        <w:t>3. Experimental Setup &amp; Datasets</w:t>
      </w:r>
    </w:p>
    <w:p>
      <w:pPr>
        <w:spacing w:before="40" w:after="120" w:line="276" w:lineRule="auto"/>
      </w:pPr>
      <w:r>
        <w:t xml:space="preserve">The research utilizes the CNN/Daily Mail dataset obtained from Kaggle in 2025, consisting of news articles paired with human-written summaries </w:t>
      </w:r>
      <w:r>
        <w:rPr>
          <w:b/>
          <w:color w:val="0284C7"/>
          <w:sz w:val="19"/>
        </w:rPr>
        <w:t xml:space="preserve"> [2]</w:t>
      </w:r>
      <w:r>
        <w:t xml:space="preserve">. Performance is evaluated using automated metrics including ROUGE and BLEU </w:t>
      </w:r>
      <w:r>
        <w:rPr>
          <w:b/>
          <w:color w:val="0284C7"/>
          <w:sz w:val="19"/>
        </w:rPr>
        <w:t xml:space="preserve"> [2]</w:t>
      </w:r>
      <w:r>
        <w:t>.</w:t>
      </w:r>
    </w:p>
    <w:p>
      <w:pPr>
        <w:spacing w:before="200" w:after="80"/>
      </w:pPr>
      <w:r>
        <w:rPr>
          <w:rFonts w:ascii="Arial" w:hAnsi="Arial"/>
          <w:b/>
          <w:color w:val="1E293B"/>
          <w:sz w:val="22"/>
        </w:rPr>
        <w:t>4. Key Findings &amp; Reported Metrics</w:t>
      </w:r>
    </w:p>
    <w:p>
      <w:pPr>
        <w:spacing w:before="40" w:after="120" w:line="276" w:lineRule="auto"/>
      </w:pPr>
      <w:r>
        <w:t xml:space="preserve">BART outperformed BERT across all ROUGE and BLEU metrics </w:t>
      </w:r>
      <w:r>
        <w:rPr>
          <w:b/>
          <w:color w:val="0284C7"/>
          <w:sz w:val="19"/>
        </w:rPr>
        <w:t xml:space="preserve"> [3]</w:t>
      </w:r>
      <w:r>
        <w:t xml:space="preserve">. Specifically, comparing RoBERTa and BART, BART achieved a ROUGE-1 score of approximately 0.4117, whereas RoBERTa achieved a ROUGE-1 score of 0.1820 </w:t>
      </w:r>
      <w:r>
        <w:rPr>
          <w:b/>
          <w:color w:val="0284C7"/>
          <w:sz w:val="19"/>
        </w:rPr>
        <w:t xml:space="preserve"> [3]</w:t>
      </w:r>
      <w:r>
        <w:t xml:space="preserve">. Overall, encoder-decoder architectures like BART provide superior performance for abstractive summarization, while extractive models like BERT and RoBERTa are more fact-preserving and stable </w:t>
      </w:r>
      <w:r>
        <w:rPr>
          <w:b/>
          <w:color w:val="0284C7"/>
          <w:sz w:val="19"/>
        </w:rPr>
        <w:t xml:space="preserve"> [4]</w:t>
      </w:r>
      <w:r>
        <w:t>.</w:t>
      </w:r>
    </w:p>
    <w:p>
      <w:pPr>
        <w:spacing w:before="200" w:after="80"/>
      </w:pPr>
      <w:r>
        <w:rPr>
          <w:rFonts w:ascii="Arial" w:hAnsi="Arial"/>
          <w:b/>
          <w:color w:val="1E293B"/>
          <w:sz w:val="22"/>
        </w:rPr>
        <w:t>5. Limitations &amp; Open Questions</w:t>
      </w:r>
    </w:p>
    <w:p>
      <w:pPr>
        <w:spacing w:before="40" w:after="120" w:line="276" w:lineRule="auto"/>
      </w:pPr>
      <w:r>
        <w:t xml:space="preserve">The authors note that evaluation metrics like ROUGE and BLEU may not fully capture semantic quality and human readability </w:t>
      </w:r>
      <w:r>
        <w:rPr>
          <w:b/>
          <w:color w:val="0284C7"/>
          <w:sz w:val="19"/>
        </w:rPr>
        <w:t xml:space="preserve"> [2]</w:t>
      </w:r>
      <w:r>
        <w:t xml:space="preserve">. Furthermore, performance comparisons are influenced by differences in training configurations (fine-tuned encoder-only models versus a pretrained generative model) </w:t>
      </w:r>
      <w:r>
        <w:rPr>
          <w:b/>
          <w:color w:val="0284C7"/>
          <w:sz w:val="19"/>
        </w:rPr>
        <w:t xml:space="preserve"> [4]</w:t>
      </w:r>
      <w:r>
        <w:t xml:space="preserve">. Future work includes fine-tuning BART on domain-specific datasets (medical, legal, educational) and comparing against larger language models like T5, LLaMA, and GPT-based architectures </w:t>
      </w:r>
      <w:r>
        <w:rPr>
          <w:b/>
          <w:color w:val="0284C7"/>
          <w:sz w:val="19"/>
        </w:rPr>
        <w:t xml:space="preserve"> [4]</w:t>
      </w:r>
      <w:r>
        <w:t>.</w:t>
      </w:r>
    </w:p>
    <w:p>
      <w:pPr>
        <w:spacing w:before="200" w:after="80"/>
      </w:pPr>
      <w:r>
        <w:rPr>
          <w:rFonts w:ascii="Arial" w:hAnsi="Arial"/>
          <w:b/>
          <w:color w:val="0284C7"/>
          <w:sz w:val="24"/>
        </w:rPr>
        <w:t>Paper 2. The Deep Arbitrary Polynomial Chaos Neural Network or how Deep Artificial Neural Networks can solve Uncertainty Quantification Problems</w:t>
      </w:r>
    </w:p>
    <w:p>
      <w:pPr>
        <w:spacing w:before="200" w:after="80"/>
      </w:pPr>
      <w:r>
        <w:rPr>
          <w:rFonts w:ascii="Arial" w:hAnsi="Arial"/>
          <w:b/>
          <w:color w:val="1E293B"/>
          <w:sz w:val="22"/>
        </w:rPr>
        <w:t>1. Core Problem &amp; Objective</w:t>
      </w:r>
    </w:p>
    <w:p>
      <w:pPr>
        <w:spacing w:before="40" w:after="120" w:line="276" w:lineRule="auto"/>
      </w:pPr>
      <w:r>
        <w:t xml:space="preserve">The paper addresses Uncertainty Quantification (UQ) problems by introducing the Deep Arbitrary Polynomial Chaos Neural Network (DaPC NN), investigating how deep artificial neural networks can resolve stochastic challenges </w:t>
      </w:r>
      <w:r>
        <w:rPr>
          <w:b/>
          <w:color w:val="0284C7"/>
          <w:sz w:val="19"/>
        </w:rPr>
        <w:t xml:space="preserve"> [5, 7]</w:t>
      </w:r>
      <w:r>
        <w:t>.</w:t>
      </w:r>
    </w:p>
    <w:p>
      <w:pPr>
        <w:spacing w:before="200" w:after="80"/>
      </w:pPr>
      <w:r>
        <w:rPr>
          <w:rFonts w:ascii="Arial" w:hAnsi="Arial"/>
          <w:b/>
          <w:color w:val="1E293B"/>
          <w:sz w:val="22"/>
        </w:rPr>
        <w:t>2. Methodology &amp; Architecture</w:t>
      </w:r>
    </w:p>
    <w:p>
      <w:pPr>
        <w:spacing w:before="40" w:after="120" w:line="276" w:lineRule="auto"/>
      </w:pPr>
      <w:r>
        <w:t xml:space="preserve">The study contrasts conventional Deep Artificial Neural Networks (DANN), arbitrary Polynomial Chaos (aPC) expansions, and the proposed DaPC NN </w:t>
      </w:r>
      <w:r>
        <w:rPr>
          <w:b/>
          <w:color w:val="0284C7"/>
          <w:sz w:val="19"/>
        </w:rPr>
        <w:t xml:space="preserve"> [5, 7]</w:t>
      </w:r>
      <w:r>
        <w:t xml:space="preserve">. DaPC NN introduces additional degrees of freedom by selecting non-linearity degrees on specific layers, incorporating unknown weights associated with input neurons from previous layers </w:t>
      </w:r>
      <w:r>
        <w:rPr>
          <w:b/>
          <w:color w:val="0284C7"/>
          <w:sz w:val="19"/>
        </w:rPr>
        <w:t xml:space="preserve"> [5]</w:t>
      </w:r>
      <w:r>
        <w:t>. Architectures are defined by total layers (</w:t>
      </w:r>
      <w:r>
        <w:rPr>
          <w:rFonts w:ascii="Cambria Math" w:hAnsi="Cambria Math"/>
          <w:i/>
          <w:color w:val="0F2942"/>
        </w:rPr>
        <w:t xml:space="preserve"> L </w:t>
      </w:r>
      <w:r>
        <w:t>), nodes per layer (</w:t>
      </w:r>
      <w:r>
        <w:rPr>
          <w:rFonts w:ascii="Cambria Math" w:hAnsi="Cambria Math"/>
          <w:i/>
          <w:color w:val="0F2942"/>
        </w:rPr>
        <w:t xml:space="preserve"> N(L) </w:t>
      </w:r>
      <w:r>
        <w:t>), non-linearity degrees (</w:t>
      </w:r>
      <w:r>
        <w:rPr>
          <w:rFonts w:ascii="Cambria Math" w:hAnsi="Cambria Math"/>
          <w:i/>
          <w:color w:val="0F2942"/>
        </w:rPr>
        <w:t xml:space="preserve"> d(L) </w:t>
      </w:r>
      <w:r>
        <w:t>), activation functions (</w:t>
      </w:r>
      <w:r>
        <w:rPr>
          <w:rFonts w:ascii="Cambria Math" w:hAnsi="Cambria Math"/>
          <w:i/>
          <w:color w:val="0F2942"/>
        </w:rPr>
        <w:t xml:space="preserve"> A(L) </w:t>
      </w:r>
      <w:r>
        <w:t xml:space="preserve">), and loss functions (MSE+MSW) </w:t>
      </w:r>
      <w:r>
        <w:rPr>
          <w:b/>
          <w:color w:val="0284C7"/>
          <w:sz w:val="19"/>
        </w:rPr>
        <w:t xml:space="preserve"> [7]</w:t>
      </w:r>
      <w:r>
        <w:t>.</w:t>
      </w:r>
    </w:p>
    <w:p>
      <w:pPr>
        <w:spacing w:before="200" w:after="80"/>
      </w:pPr>
      <w:r>
        <w:rPr>
          <w:rFonts w:ascii="Arial" w:hAnsi="Arial"/>
          <w:b/>
          <w:color w:val="1E293B"/>
          <w:sz w:val="22"/>
        </w:rPr>
        <w:t>3. Experimental Setup &amp; Datasets</w:t>
      </w:r>
    </w:p>
    <w:p>
      <w:pPr>
        <w:spacing w:before="40" w:after="120" w:line="276" w:lineRule="auto"/>
      </w:pPr>
      <w:r>
        <w:t xml:space="preserve">The study utilizes benchmark problems such as the Ishigami test case (with 3 inputs) and the ON-10 test case (with 10 inputs) </w:t>
      </w:r>
      <w:r>
        <w:rPr>
          <w:b/>
          <w:color w:val="0284C7"/>
          <w:sz w:val="19"/>
        </w:rPr>
        <w:t xml:space="preserve"> [5, 6, 7]</w:t>
      </w:r>
      <w:r>
        <w:t>. Training datasets (</w:t>
      </w:r>
      <w:r>
        <w:rPr>
          <w:rFonts w:ascii="Cambria Math" w:hAnsi="Cambria Math"/>
          <w:i/>
          <w:color w:val="0F2942"/>
        </w:rPr>
        <w:t xml:space="preserve"> D_TN </w:t>
      </w:r>
      <w:r>
        <w:t xml:space="preserve">) of sizes </w:t>
      </w:r>
      <w:r>
        <w:rPr>
          <w:rFonts w:ascii="Cambria Math" w:hAnsi="Cambria Math"/>
          <w:i/>
          <w:color w:val="0F2942"/>
        </w:rPr>
        <w:t xml:space="preserve"> T_N = 10 </w:t>
      </w:r>
      <w:r>
        <w:t xml:space="preserve">, </w:t>
      </w:r>
      <w:r>
        <w:rPr>
          <w:rFonts w:ascii="Cambria Math" w:hAnsi="Cambria Math"/>
          <w:i/>
          <w:color w:val="0F2942"/>
        </w:rPr>
        <w:t xml:space="preserve"> 100 </w:t>
      </w:r>
      <w:r>
        <w:t xml:space="preserve">, </w:t>
      </w:r>
      <w:r>
        <w:rPr>
          <w:rFonts w:ascii="Cambria Math" w:hAnsi="Cambria Math"/>
          <w:i/>
          <w:color w:val="0F2942"/>
        </w:rPr>
        <w:t xml:space="preserve"> 500 </w:t>
      </w:r>
      <w:r>
        <w:t xml:space="preserve">, and </w:t>
      </w:r>
      <w:r>
        <w:rPr>
          <w:rFonts w:ascii="Cambria Math" w:hAnsi="Cambria Math"/>
          <w:i/>
          <w:color w:val="0F2942"/>
        </w:rPr>
        <w:t xml:space="preserve"> 1000 </w:t>
      </w:r>
      <w:r>
        <w:t xml:space="preserve"> are evaluated, alongside validation datasets (</w:t>
      </w:r>
      <w:r>
        <w:rPr>
          <w:rFonts w:ascii="Cambria Math" w:hAnsi="Cambria Math"/>
          <w:i/>
          <w:color w:val="0F2942"/>
        </w:rPr>
        <w:t xml:space="preserve"> D_VN </w:t>
      </w:r>
      <w:r>
        <w:t xml:space="preserve">) of size </w:t>
      </w:r>
      <w:r>
        <w:rPr>
          <w:rFonts w:ascii="Cambria Math" w:hAnsi="Cambria Math"/>
          <w:i/>
          <w:color w:val="0F2942"/>
        </w:rPr>
        <w:t xml:space="preserve"> V_N = 10^3 </w:t>
      </w:r>
      <w:r>
        <w:t xml:space="preserve"> generated via Monte Carlo sampling </w:t>
      </w:r>
      <w:r>
        <w:rPr>
          <w:b/>
          <w:color w:val="0284C7"/>
          <w:sz w:val="19"/>
        </w:rPr>
        <w:t xml:space="preserve"> [6, 7]</w:t>
      </w:r>
      <w:r>
        <w:t>.</w:t>
      </w:r>
    </w:p>
    <w:p>
      <w:pPr>
        <w:spacing w:before="200" w:after="80"/>
      </w:pPr>
      <w:r>
        <w:rPr>
          <w:rFonts w:ascii="Arial" w:hAnsi="Arial"/>
          <w:b/>
          <w:color w:val="1E293B"/>
          <w:sz w:val="22"/>
        </w:rPr>
        <w:t>4. Key Findings &amp; Reported Metrics</w:t>
      </w:r>
    </w:p>
    <w:p>
      <w:pPr>
        <w:spacing w:before="40" w:after="120" w:line="276" w:lineRule="auto"/>
      </w:pPr>
      <w:r>
        <w:t xml:space="preserve">Convergence analysis (measuring Mean Square Error, Relative Error of Mean Value, and Relative Error of Standard Deviation) demonstrates that DaPC NN achieves faster convergence across all investigated metrics compared to conventional DANN and aPC models </w:t>
      </w:r>
      <w:r>
        <w:rPr>
          <w:b/>
          <w:color w:val="0284C7"/>
          <w:sz w:val="19"/>
        </w:rPr>
        <w:t xml:space="preserve"> [7]</w:t>
      </w:r>
      <w:r>
        <w:t xml:space="preserve">. Furthermore, aPC yields smaller relative errors of the mean and standard deviation than conventional DANN </w:t>
      </w:r>
      <w:r>
        <w:rPr>
          <w:b/>
          <w:color w:val="0284C7"/>
          <w:sz w:val="19"/>
        </w:rPr>
        <w:t xml:space="preserve"> [7]</w:t>
      </w:r>
      <w:r>
        <w:t>.</w:t>
      </w:r>
    </w:p>
    <w:p>
      <w:pPr>
        <w:spacing w:before="200" w:after="80"/>
      </w:pPr>
      <w:r>
        <w:rPr>
          <w:rFonts w:ascii="Arial" w:hAnsi="Arial"/>
          <w:b/>
          <w:color w:val="1E293B"/>
          <w:sz w:val="22"/>
        </w:rPr>
        <w:t>5. Limitations &amp; Open Questions</w:t>
      </w:r>
    </w:p>
    <w:p>
      <w:pPr>
        <w:spacing w:before="40" w:after="120" w:line="276" w:lineRule="auto"/>
      </w:pPr>
      <w:r>
        <w:t xml:space="preserve">The study notes that exploring all possible configurations of deep architectures via trial-and-error poses strong challenges, requiring a deep understanding of each underlying machine learning approach </w:t>
      </w:r>
      <w:r>
        <w:rPr>
          <w:b/>
          <w:color w:val="0284C7"/>
          <w:sz w:val="19"/>
        </w:rPr>
        <w:t xml:space="preserve"> [5]</w:t>
      </w:r>
      <w:r>
        <w:t>. (Note: Additional specific failure modes or unaddressed failure constraints are not explicitly detailed in the provided evidence).</w:t>
      </w:r>
    </w:p>
    <w:p>
      <w:pPr>
        <w:spacing w:before="200" w:after="80"/>
      </w:pPr>
      <w:r>
        <w:rPr>
          <w:rFonts w:ascii="Arial" w:hAnsi="Arial"/>
          <w:b/>
          <w:color w:val="0284C7"/>
          <w:sz w:val="24"/>
        </w:rPr>
        <w:t>Paper 3. LegalTurk Optimized BERT for Multi-Label Text Classification and NER</w:t>
      </w:r>
    </w:p>
    <w:p>
      <w:pPr>
        <w:spacing w:before="200" w:after="80"/>
      </w:pPr>
      <w:r>
        <w:rPr>
          <w:rFonts w:ascii="Arial" w:hAnsi="Arial"/>
          <w:b/>
          <w:color w:val="1E293B"/>
          <w:sz w:val="22"/>
        </w:rPr>
        <w:t>1. Core Problem &amp; Objective</w:t>
      </w:r>
    </w:p>
    <w:p>
      <w:pPr>
        <w:spacing w:before="40" w:after="120" w:line="276" w:lineRule="auto"/>
      </w:pPr>
      <w:r>
        <w:t xml:space="preserve">The paper addresses natural language processing within the legal domain by developing and optimizing BERT models (LegalTurk) specifically for Turkish legal text multi-label text classification and Named Entity Recognition (NER) </w:t>
      </w:r>
      <w:r>
        <w:rPr>
          <w:b/>
          <w:color w:val="0284C7"/>
          <w:sz w:val="19"/>
        </w:rPr>
        <w:t xml:space="preserve"> [8, 10]</w:t>
      </w:r>
      <w:r>
        <w:t>.</w:t>
      </w:r>
    </w:p>
    <w:p>
      <w:pPr>
        <w:spacing w:before="200" w:after="80"/>
      </w:pPr>
      <w:r>
        <w:rPr>
          <w:rFonts w:ascii="Arial" w:hAnsi="Arial"/>
          <w:b/>
          <w:color w:val="1E293B"/>
          <w:sz w:val="22"/>
        </w:rPr>
        <w:t>2. Methodology &amp; Architecture</w:t>
      </w:r>
    </w:p>
    <w:p>
      <w:pPr>
        <w:spacing w:before="40" w:after="120" w:line="276" w:lineRule="auto"/>
      </w:pPr>
      <w:r>
        <w:t xml:space="preserve">The study implements pre-training rounds from scratch on a 50MB corpus (and later larger corpora up to 2GB), replacing Next Sentence Prediction (NSP) with Sentence Order Prediction (SOP), and integrating TF-IDF strategies into Masked Language Modeling (MLM) </w:t>
      </w:r>
      <w:r>
        <w:rPr>
          <w:b/>
          <w:color w:val="0284C7"/>
          <w:sz w:val="19"/>
        </w:rPr>
        <w:t xml:space="preserve"> [9, 10]</w:t>
      </w:r>
      <w:r>
        <w:t xml:space="preserve">. Fine-tuning is evaluated using a hold-out method partitioning datasets into 80% training, 10% validation, and 10% test splits </w:t>
      </w:r>
      <w:r>
        <w:rPr>
          <w:b/>
          <w:color w:val="0284C7"/>
          <w:sz w:val="19"/>
        </w:rPr>
        <w:t xml:space="preserve"> [8]</w:t>
      </w:r>
      <w:r>
        <w:t>.</w:t>
      </w:r>
    </w:p>
    <w:p>
      <w:pPr>
        <w:spacing w:before="200" w:after="80"/>
      </w:pPr>
      <w:r>
        <w:rPr>
          <w:rFonts w:ascii="Arial" w:hAnsi="Arial"/>
          <w:b/>
          <w:color w:val="1E293B"/>
          <w:sz w:val="22"/>
        </w:rPr>
        <w:t>3. Experimental Setup &amp; Datasets</w:t>
      </w:r>
    </w:p>
    <w:p>
      <w:pPr>
        <w:spacing w:before="40" w:after="120" w:line="276" w:lineRule="auto"/>
      </w:pPr>
      <w:r>
        <w:t xml:space="preserve">Fine-tuning utilized annotated datasets consisting of 614,541 total sentences for NER and 175,279 total sentences for multi-label text classification </w:t>
      </w:r>
      <w:r>
        <w:rPr>
          <w:b/>
          <w:color w:val="0284C7"/>
          <w:sz w:val="19"/>
        </w:rPr>
        <w:t xml:space="preserve"> [8]</w:t>
      </w:r>
      <w:r>
        <w:t xml:space="preserve">. Pre-training corpora were derived from publicly available legal domain theses </w:t>
      </w:r>
      <w:r>
        <w:rPr>
          <w:b/>
          <w:color w:val="0284C7"/>
          <w:sz w:val="19"/>
        </w:rPr>
        <w:t xml:space="preserve"> [10]</w:t>
      </w:r>
      <w:r>
        <w:t xml:space="preserve">. Models were evaluated using Precision, Recall, and F-measure </w:t>
      </w:r>
      <w:r>
        <w:rPr>
          <w:b/>
          <w:color w:val="0284C7"/>
          <w:sz w:val="19"/>
        </w:rPr>
        <w:t xml:space="preserve"> [8, 9]</w:t>
      </w:r>
      <w:r>
        <w:t>.</w:t>
      </w:r>
    </w:p>
    <w:p>
      <w:pPr>
        <w:spacing w:before="200" w:after="80"/>
      </w:pPr>
      <w:r>
        <w:rPr>
          <w:rFonts w:ascii="Arial" w:hAnsi="Arial"/>
          <w:b/>
          <w:color w:val="1E293B"/>
          <w:sz w:val="22"/>
        </w:rPr>
        <w:t>4. Key Findings &amp; Reported Metrics</w:t>
      </w:r>
    </w:p>
    <w:p>
      <w:pPr>
        <w:spacing w:before="40" w:after="120" w:line="276" w:lineRule="auto"/>
      </w:pPr>
      <w:r>
        <w:t xml:space="preserve">Fine-tuning results for models trained from scratch on the 50MB corpus show variations across optimization strategies </w:t>
      </w:r>
      <w:r>
        <w:rPr>
          <w:b/>
          <w:color w:val="0284C7"/>
          <w:sz w:val="19"/>
        </w:rPr>
        <w:t xml:space="preserve"> [9]</w:t>
      </w:r>
      <w:r>
        <w: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2942"/>
            <w:tcMar>
              <w:top w:w="120" w:type="dxa"/>
              <w:bottom w:w="120" w:type="dxa"/>
              <w:left w:w="140" w:type="dxa"/>
              <w:right w:w="140" w:type="dxa"/>
            </w:tcMar>
          </w:tcPr>
          <w:p>
            <w:pPr>
              <w:jc w:val="left"/>
            </w:pPr>
            <w:r>
              <w:rPr>
                <w:b/>
                <w:color w:val="FFFFFF"/>
                <w:sz w:val="19"/>
              </w:rPr>
              <w:t>Pre-trained Model Configuration</w:t>
            </w:r>
          </w:p>
        </w:tc>
        <w:tc>
          <w:tcPr>
            <w:tcW w:type="dxa" w:w="1337"/>
            <w:shd w:fill="0F2942"/>
            <w:tcMar>
              <w:top w:w="120" w:type="dxa"/>
              <w:bottom w:w="120" w:type="dxa"/>
              <w:left w:w="140" w:type="dxa"/>
              <w:right w:w="140" w:type="dxa"/>
            </w:tcMar>
          </w:tcPr>
          <w:p>
            <w:pPr>
              <w:jc w:val="left"/>
            </w:pPr>
            <w:r>
              <w:rPr>
                <w:b/>
                <w:color w:val="FFFFFF"/>
                <w:sz w:val="19"/>
              </w:rPr>
              <w:t>Multi-Label Precision</w:t>
            </w:r>
          </w:p>
        </w:tc>
        <w:tc>
          <w:tcPr>
            <w:tcW w:type="dxa" w:w="1337"/>
            <w:shd w:fill="0F2942"/>
            <w:tcMar>
              <w:top w:w="120" w:type="dxa"/>
              <w:bottom w:w="120" w:type="dxa"/>
              <w:left w:w="140" w:type="dxa"/>
              <w:right w:w="140" w:type="dxa"/>
            </w:tcMar>
          </w:tcPr>
          <w:p>
            <w:pPr>
              <w:jc w:val="left"/>
            </w:pPr>
            <w:r>
              <w:rPr>
                <w:b/>
                <w:color w:val="FFFFFF"/>
                <w:sz w:val="19"/>
              </w:rPr>
              <w:t>Multi-Label Recall</w:t>
            </w:r>
          </w:p>
        </w:tc>
        <w:tc>
          <w:tcPr>
            <w:tcW w:type="dxa" w:w="1337"/>
            <w:shd w:fill="0F2942"/>
            <w:tcMar>
              <w:top w:w="120" w:type="dxa"/>
              <w:bottom w:w="120" w:type="dxa"/>
              <w:left w:w="140" w:type="dxa"/>
              <w:right w:w="140" w:type="dxa"/>
            </w:tcMar>
          </w:tcPr>
          <w:p>
            <w:pPr>
              <w:jc w:val="left"/>
            </w:pPr>
            <w:r>
              <w:rPr>
                <w:b/>
                <w:color w:val="FFFFFF"/>
                <w:sz w:val="19"/>
              </w:rPr>
              <w:t>Multi-Label F-measure</w:t>
            </w:r>
          </w:p>
        </w:tc>
        <w:tc>
          <w:tcPr>
            <w:tcW w:type="dxa" w:w="1337"/>
            <w:shd w:fill="0F2942"/>
            <w:tcMar>
              <w:top w:w="120" w:type="dxa"/>
              <w:bottom w:w="120" w:type="dxa"/>
              <w:left w:w="140" w:type="dxa"/>
              <w:right w:w="140" w:type="dxa"/>
            </w:tcMar>
          </w:tcPr>
          <w:p>
            <w:pPr>
              <w:jc w:val="left"/>
            </w:pPr>
            <w:r>
              <w:rPr>
                <w:b/>
                <w:color w:val="FFFFFF"/>
                <w:sz w:val="19"/>
              </w:rPr>
              <w:t>NER Precision</w:t>
            </w:r>
          </w:p>
        </w:tc>
        <w:tc>
          <w:tcPr>
            <w:tcW w:type="dxa" w:w="1337"/>
            <w:shd w:fill="0F2942"/>
            <w:tcMar>
              <w:top w:w="120" w:type="dxa"/>
              <w:bottom w:w="120" w:type="dxa"/>
              <w:left w:w="140" w:type="dxa"/>
              <w:right w:w="140" w:type="dxa"/>
            </w:tcMar>
          </w:tcPr>
          <w:p>
            <w:pPr>
              <w:jc w:val="left"/>
            </w:pPr>
            <w:r>
              <w:rPr>
                <w:b/>
                <w:color w:val="FFFFFF"/>
                <w:sz w:val="19"/>
              </w:rPr>
              <w:t>NER Recall</w:t>
            </w:r>
          </w:p>
        </w:tc>
        <w:tc>
          <w:tcPr>
            <w:tcW w:type="dxa" w:w="1337"/>
            <w:shd w:fill="0F2942"/>
            <w:tcMar>
              <w:top w:w="120" w:type="dxa"/>
              <w:bottom w:w="120" w:type="dxa"/>
              <w:left w:w="140" w:type="dxa"/>
              <w:right w:w="140" w:type="dxa"/>
            </w:tcMar>
          </w:tcPr>
          <w:p>
            <w:pPr>
              <w:jc w:val="left"/>
            </w:pPr>
            <w:r>
              <w:rPr>
                <w:b/>
                <w:color w:val="FFFFFF"/>
                <w:sz w:val="19"/>
              </w:rPr>
              <w:t>NER F-measure</w:t>
            </w:r>
          </w:p>
        </w:tc>
      </w:tr>
      <w:tr>
        <w:tc>
          <w:tcPr>
            <w:tcW w:type="dxa" w:w="1337"/>
            <w:shd w:fill="F8FAFC"/>
            <w:tcMar>
              <w:top w:w="100" w:type="dxa"/>
              <w:bottom w:w="100" w:type="dxa"/>
              <w:left w:w="140" w:type="dxa"/>
              <w:right w:w="140" w:type="dxa"/>
            </w:tcMar>
          </w:tcPr>
          <w:p>
            <w:pPr>
              <w:jc w:val="left"/>
            </w:pPr>
            <w:r>
              <w:rPr>
                <w:color w:val="1E293B"/>
                <w:sz w:val="19"/>
              </w:rPr>
              <w:t xml:space="preserve">Original BERT: NSP_MLM_80_10_10 </w:t>
            </w:r>
            <w:r>
              <w:rPr>
                <w:b/>
                <w:color w:val="1E293B"/>
                <w:sz w:val="19"/>
              </w:rPr>
              <w:t xml:space="preserve"> [9]</w:t>
            </w:r>
          </w:p>
        </w:tc>
        <w:tc>
          <w:tcPr>
            <w:tcW w:type="dxa" w:w="1337"/>
            <w:shd w:fill="F8FAFC"/>
            <w:tcMar>
              <w:top w:w="100" w:type="dxa"/>
              <w:bottom w:w="100" w:type="dxa"/>
              <w:left w:w="140" w:type="dxa"/>
              <w:right w:w="140" w:type="dxa"/>
            </w:tcMar>
          </w:tcPr>
          <w:p>
            <w:pPr>
              <w:jc w:val="left"/>
            </w:pPr>
            <w:r>
              <w:rPr>
                <w:color w:val="1E293B"/>
                <w:sz w:val="19"/>
              </w:rPr>
              <w:t>84.36</w:t>
            </w:r>
          </w:p>
        </w:tc>
        <w:tc>
          <w:tcPr>
            <w:tcW w:type="dxa" w:w="1337"/>
            <w:shd w:fill="F8FAFC"/>
            <w:tcMar>
              <w:top w:w="100" w:type="dxa"/>
              <w:bottom w:w="100" w:type="dxa"/>
              <w:left w:w="140" w:type="dxa"/>
              <w:right w:w="140" w:type="dxa"/>
            </w:tcMar>
          </w:tcPr>
          <w:p>
            <w:pPr>
              <w:jc w:val="left"/>
            </w:pPr>
            <w:r>
              <w:rPr>
                <w:color w:val="1E293B"/>
                <w:sz w:val="19"/>
              </w:rPr>
              <w:t>48.79</w:t>
            </w:r>
          </w:p>
        </w:tc>
        <w:tc>
          <w:tcPr>
            <w:tcW w:type="dxa" w:w="1337"/>
            <w:shd w:fill="F8FAFC"/>
            <w:tcMar>
              <w:top w:w="100" w:type="dxa"/>
              <w:bottom w:w="100" w:type="dxa"/>
              <w:left w:w="140" w:type="dxa"/>
              <w:right w:w="140" w:type="dxa"/>
            </w:tcMar>
          </w:tcPr>
          <w:p>
            <w:pPr>
              <w:jc w:val="left"/>
            </w:pPr>
            <w:r>
              <w:rPr>
                <w:color w:val="1E293B"/>
                <w:sz w:val="19"/>
              </w:rPr>
              <w:t>61.82</w:t>
            </w:r>
          </w:p>
        </w:tc>
        <w:tc>
          <w:tcPr>
            <w:tcW w:type="dxa" w:w="1337"/>
            <w:shd w:fill="F8FAFC"/>
            <w:tcMar>
              <w:top w:w="100" w:type="dxa"/>
              <w:bottom w:w="100" w:type="dxa"/>
              <w:left w:w="140" w:type="dxa"/>
              <w:right w:w="140" w:type="dxa"/>
            </w:tcMar>
          </w:tcPr>
          <w:p>
            <w:pPr>
              <w:jc w:val="left"/>
            </w:pPr>
            <w:r>
              <w:rPr>
                <w:color w:val="1E293B"/>
                <w:sz w:val="19"/>
              </w:rPr>
              <w:t>50.77</w:t>
            </w:r>
          </w:p>
        </w:tc>
        <w:tc>
          <w:tcPr>
            <w:tcW w:type="dxa" w:w="1337"/>
            <w:shd w:fill="F8FAFC"/>
            <w:tcMar>
              <w:top w:w="100" w:type="dxa"/>
              <w:bottom w:w="100" w:type="dxa"/>
              <w:left w:w="140" w:type="dxa"/>
              <w:right w:w="140" w:type="dxa"/>
            </w:tcMar>
          </w:tcPr>
          <w:p>
            <w:pPr>
              <w:jc w:val="left"/>
            </w:pPr>
            <w:r>
              <w:rPr>
                <w:color w:val="1E293B"/>
                <w:sz w:val="19"/>
              </w:rPr>
              <w:t>73.53</w:t>
            </w:r>
          </w:p>
        </w:tc>
        <w:tc>
          <w:tcPr>
            <w:tcW w:type="dxa" w:w="1337"/>
            <w:shd w:fill="F8FAFC"/>
            <w:tcMar>
              <w:top w:w="100" w:type="dxa"/>
              <w:bottom w:w="100" w:type="dxa"/>
              <w:left w:w="140" w:type="dxa"/>
              <w:right w:w="140" w:type="dxa"/>
            </w:tcMar>
          </w:tcPr>
          <w:p>
            <w:pPr>
              <w:jc w:val="left"/>
            </w:pPr>
            <w:r>
              <w:rPr>
                <w:color w:val="1E293B"/>
                <w:sz w:val="19"/>
              </w:rPr>
              <w:t>60.07</w:t>
            </w:r>
          </w:p>
        </w:tc>
      </w:tr>
      <w:tr>
        <w:tc>
          <w:tcPr>
            <w:tcW w:type="dxa" w:w="1337"/>
            <w:shd w:fill="FFFFFF"/>
            <w:tcMar>
              <w:top w:w="100" w:type="dxa"/>
              <w:bottom w:w="100" w:type="dxa"/>
              <w:left w:w="140" w:type="dxa"/>
              <w:right w:w="140" w:type="dxa"/>
            </w:tcMar>
          </w:tcPr>
          <w:p>
            <w:pPr>
              <w:jc w:val="left"/>
            </w:pPr>
            <w:r>
              <w:rPr>
                <w:color w:val="1E293B"/>
                <w:sz w:val="19"/>
              </w:rPr>
              <w:t xml:space="preserve">SOP_MLM_80_10_10 </w:t>
            </w:r>
            <w:r>
              <w:rPr>
                <w:b/>
                <w:color w:val="1E293B"/>
                <w:sz w:val="19"/>
              </w:rPr>
              <w:t xml:space="preserve"> [9]</w:t>
            </w:r>
          </w:p>
        </w:tc>
        <w:tc>
          <w:tcPr>
            <w:tcW w:type="dxa" w:w="1337"/>
            <w:shd w:fill="FFFFFF"/>
            <w:tcMar>
              <w:top w:w="100" w:type="dxa"/>
              <w:bottom w:w="100" w:type="dxa"/>
              <w:left w:w="140" w:type="dxa"/>
              <w:right w:w="140" w:type="dxa"/>
            </w:tcMar>
          </w:tcPr>
          <w:p>
            <w:pPr>
              <w:jc w:val="left"/>
            </w:pPr>
            <w:r>
              <w:rPr>
                <w:color w:val="1E293B"/>
                <w:sz w:val="19"/>
              </w:rPr>
              <w:t>84.93</w:t>
            </w:r>
          </w:p>
        </w:tc>
        <w:tc>
          <w:tcPr>
            <w:tcW w:type="dxa" w:w="1337"/>
            <w:shd w:fill="FFFFFF"/>
            <w:tcMar>
              <w:top w:w="100" w:type="dxa"/>
              <w:bottom w:w="100" w:type="dxa"/>
              <w:left w:w="140" w:type="dxa"/>
              <w:right w:w="140" w:type="dxa"/>
            </w:tcMar>
          </w:tcPr>
          <w:p>
            <w:pPr>
              <w:jc w:val="left"/>
            </w:pPr>
            <w:r>
              <w:rPr>
                <w:color w:val="1E293B"/>
                <w:sz w:val="19"/>
              </w:rPr>
              <w:t>54.71</w:t>
            </w:r>
          </w:p>
        </w:tc>
        <w:tc>
          <w:tcPr>
            <w:tcW w:type="dxa" w:w="1337"/>
            <w:shd w:fill="FFFFFF"/>
            <w:tcMar>
              <w:top w:w="100" w:type="dxa"/>
              <w:bottom w:w="100" w:type="dxa"/>
              <w:left w:w="140" w:type="dxa"/>
              <w:right w:w="140" w:type="dxa"/>
            </w:tcMar>
          </w:tcPr>
          <w:p>
            <w:pPr>
              <w:jc w:val="left"/>
            </w:pPr>
            <w:r>
              <w:rPr>
                <w:color w:val="1E293B"/>
                <w:sz w:val="19"/>
              </w:rPr>
              <w:t>66.55</w:t>
            </w:r>
          </w:p>
        </w:tc>
        <w:tc>
          <w:tcPr>
            <w:tcW w:type="dxa" w:w="1337"/>
            <w:shd w:fill="FFFFFF"/>
            <w:tcMar>
              <w:top w:w="100" w:type="dxa"/>
              <w:bottom w:w="100" w:type="dxa"/>
              <w:left w:w="140" w:type="dxa"/>
              <w:right w:w="140" w:type="dxa"/>
            </w:tcMar>
          </w:tcPr>
          <w:p>
            <w:pPr>
              <w:jc w:val="left"/>
            </w:pPr>
            <w:r>
              <w:rPr>
                <w:color w:val="1E293B"/>
                <w:sz w:val="19"/>
              </w:rPr>
              <w:t>51.22</w:t>
            </w:r>
          </w:p>
        </w:tc>
        <w:tc>
          <w:tcPr>
            <w:tcW w:type="dxa" w:w="1337"/>
            <w:shd w:fill="FFFFFF"/>
            <w:tcMar>
              <w:top w:w="100" w:type="dxa"/>
              <w:bottom w:w="100" w:type="dxa"/>
              <w:left w:w="140" w:type="dxa"/>
              <w:right w:w="140" w:type="dxa"/>
            </w:tcMar>
          </w:tcPr>
          <w:p>
            <w:pPr>
              <w:jc w:val="left"/>
            </w:pPr>
            <w:r>
              <w:rPr>
                <w:color w:val="1E293B"/>
                <w:sz w:val="19"/>
              </w:rPr>
              <w:t>73.93</w:t>
            </w:r>
          </w:p>
        </w:tc>
        <w:tc>
          <w:tcPr>
            <w:tcW w:type="dxa" w:w="1337"/>
            <w:shd w:fill="FFFFFF"/>
            <w:tcMar>
              <w:top w:w="100" w:type="dxa"/>
              <w:bottom w:w="100" w:type="dxa"/>
              <w:left w:w="140" w:type="dxa"/>
              <w:right w:w="140" w:type="dxa"/>
            </w:tcMar>
          </w:tcPr>
          <w:p>
            <w:pPr>
              <w:jc w:val="left"/>
            </w:pPr>
            <w:r>
              <w:rPr>
                <w:color w:val="1E293B"/>
                <w:sz w:val="19"/>
              </w:rPr>
              <w:t>60.51</w:t>
            </w:r>
          </w:p>
        </w:tc>
      </w:tr>
      <w:tr>
        <w:tc>
          <w:tcPr>
            <w:tcW w:type="dxa" w:w="1337"/>
            <w:shd w:fill="F8FAFC"/>
            <w:tcMar>
              <w:top w:w="100" w:type="dxa"/>
              <w:bottom w:w="100" w:type="dxa"/>
              <w:left w:w="140" w:type="dxa"/>
              <w:right w:w="140" w:type="dxa"/>
            </w:tcMar>
          </w:tcPr>
          <w:p>
            <w:pPr>
              <w:jc w:val="left"/>
            </w:pPr>
            <w:r>
              <w:rPr>
                <w:color w:val="1E293B"/>
                <w:sz w:val="19"/>
              </w:rPr>
              <w:t xml:space="preserve">MLM_80_10_10 </w:t>
            </w:r>
            <w:r>
              <w:rPr>
                <w:b/>
                <w:color w:val="1E293B"/>
                <w:sz w:val="19"/>
              </w:rPr>
              <w:t xml:space="preserve"> [9]</w:t>
            </w:r>
          </w:p>
        </w:tc>
        <w:tc>
          <w:tcPr>
            <w:tcW w:type="dxa" w:w="1337"/>
            <w:shd w:fill="F8FAFC"/>
            <w:tcMar>
              <w:top w:w="100" w:type="dxa"/>
              <w:bottom w:w="100" w:type="dxa"/>
              <w:left w:w="140" w:type="dxa"/>
              <w:right w:w="140" w:type="dxa"/>
            </w:tcMar>
          </w:tcPr>
          <w:p>
            <w:pPr>
              <w:jc w:val="left"/>
            </w:pPr>
            <w:r>
              <w:rPr>
                <w:color w:val="1E293B"/>
                <w:sz w:val="19"/>
              </w:rPr>
              <w:t>86.18</w:t>
            </w:r>
          </w:p>
        </w:tc>
        <w:tc>
          <w:tcPr>
            <w:tcW w:type="dxa" w:w="1337"/>
            <w:shd w:fill="F8FAFC"/>
            <w:tcMar>
              <w:top w:w="100" w:type="dxa"/>
              <w:bottom w:w="100" w:type="dxa"/>
              <w:left w:w="140" w:type="dxa"/>
              <w:right w:w="140" w:type="dxa"/>
            </w:tcMar>
          </w:tcPr>
          <w:p>
            <w:pPr>
              <w:jc w:val="left"/>
            </w:pPr>
            <w:r>
              <w:rPr>
                <w:color w:val="1E293B"/>
                <w:sz w:val="19"/>
              </w:rPr>
              <w:t>61.88</w:t>
            </w:r>
          </w:p>
        </w:tc>
        <w:tc>
          <w:tcPr>
            <w:tcW w:type="dxa" w:w="1337"/>
            <w:shd w:fill="F8FAFC"/>
            <w:tcMar>
              <w:top w:w="100" w:type="dxa"/>
              <w:bottom w:w="100" w:type="dxa"/>
              <w:left w:w="140" w:type="dxa"/>
              <w:right w:w="140" w:type="dxa"/>
            </w:tcMar>
          </w:tcPr>
          <w:p>
            <w:pPr>
              <w:jc w:val="left"/>
            </w:pPr>
            <w:r>
              <w:rPr>
                <w:color w:val="1E293B"/>
                <w:sz w:val="19"/>
              </w:rPr>
              <w:t>72.03</w:t>
            </w:r>
          </w:p>
        </w:tc>
        <w:tc>
          <w:tcPr>
            <w:tcW w:type="dxa" w:w="1337"/>
            <w:shd w:fill="F8FAFC"/>
            <w:tcMar>
              <w:top w:w="100" w:type="dxa"/>
              <w:bottom w:w="100" w:type="dxa"/>
              <w:left w:w="140" w:type="dxa"/>
              <w:right w:w="140" w:type="dxa"/>
            </w:tcMar>
          </w:tcPr>
          <w:p>
            <w:pPr>
              <w:jc w:val="left"/>
            </w:pPr>
            <w:r>
              <w:rPr>
                <w:color w:val="1E293B"/>
                <w:sz w:val="19"/>
              </w:rPr>
              <w:t>70.33</w:t>
            </w:r>
          </w:p>
        </w:tc>
        <w:tc>
          <w:tcPr>
            <w:tcW w:type="dxa" w:w="1337"/>
            <w:shd w:fill="F8FAFC"/>
            <w:tcMar>
              <w:top w:w="100" w:type="dxa"/>
              <w:bottom w:w="100" w:type="dxa"/>
              <w:left w:w="140" w:type="dxa"/>
              <w:right w:w="140" w:type="dxa"/>
            </w:tcMar>
          </w:tcPr>
          <w:p>
            <w:pPr>
              <w:jc w:val="left"/>
            </w:pPr>
            <w:r>
              <w:rPr>
                <w:color w:val="1E293B"/>
                <w:sz w:val="19"/>
              </w:rPr>
              <w:t>82.33</w:t>
            </w:r>
          </w:p>
        </w:tc>
        <w:tc>
          <w:tcPr>
            <w:tcW w:type="dxa" w:w="1337"/>
            <w:shd w:fill="F8FAFC"/>
            <w:tcMar>
              <w:top w:w="100" w:type="dxa"/>
              <w:bottom w:w="100" w:type="dxa"/>
              <w:left w:w="140" w:type="dxa"/>
              <w:right w:w="140" w:type="dxa"/>
            </w:tcMar>
          </w:tcPr>
          <w:p>
            <w:pPr>
              <w:jc w:val="left"/>
            </w:pPr>
            <w:r>
              <w:rPr>
                <w:color w:val="1E293B"/>
                <w:sz w:val="19"/>
              </w:rPr>
              <w:t>75.86</w:t>
            </w:r>
          </w:p>
        </w:tc>
      </w:tr>
      <w:tr>
        <w:tc>
          <w:tcPr>
            <w:tcW w:type="dxa" w:w="1337"/>
            <w:shd w:fill="FFFFFF"/>
            <w:tcMar>
              <w:top w:w="100" w:type="dxa"/>
              <w:bottom w:w="100" w:type="dxa"/>
              <w:left w:w="140" w:type="dxa"/>
              <w:right w:w="140" w:type="dxa"/>
            </w:tcMar>
          </w:tcPr>
          <w:p>
            <w:pPr>
              <w:jc w:val="left"/>
            </w:pPr>
            <w:r>
              <w:rPr>
                <w:color w:val="1E293B"/>
                <w:sz w:val="19"/>
              </w:rPr>
              <w:t xml:space="preserve">MLM_80_0_20 </w:t>
            </w:r>
            <w:r>
              <w:rPr>
                <w:b/>
                <w:color w:val="1E293B"/>
                <w:sz w:val="19"/>
              </w:rPr>
              <w:t xml:space="preserve"> [9]</w:t>
            </w:r>
          </w:p>
        </w:tc>
        <w:tc>
          <w:tcPr>
            <w:tcW w:type="dxa" w:w="1337"/>
            <w:shd w:fill="FFFFFF"/>
            <w:tcMar>
              <w:top w:w="100" w:type="dxa"/>
              <w:bottom w:w="100" w:type="dxa"/>
              <w:left w:w="140" w:type="dxa"/>
              <w:right w:w="140" w:type="dxa"/>
            </w:tcMar>
          </w:tcPr>
          <w:p>
            <w:pPr>
              <w:jc w:val="left"/>
            </w:pPr>
            <w:r>
              <w:rPr>
                <w:color w:val="1E293B"/>
                <w:sz w:val="19"/>
              </w:rPr>
              <w:t>86.31</w:t>
            </w:r>
          </w:p>
        </w:tc>
        <w:tc>
          <w:tcPr>
            <w:tcW w:type="dxa" w:w="1337"/>
            <w:shd w:fill="FFFFFF"/>
            <w:tcMar>
              <w:top w:w="100" w:type="dxa"/>
              <w:bottom w:w="100" w:type="dxa"/>
              <w:left w:w="140" w:type="dxa"/>
              <w:right w:w="140" w:type="dxa"/>
            </w:tcMar>
          </w:tcPr>
          <w:p>
            <w:pPr>
              <w:jc w:val="left"/>
            </w:pPr>
            <w:r>
              <w:rPr>
                <w:color w:val="1E293B"/>
                <w:sz w:val="19"/>
              </w:rPr>
              <w:t>60.05</w:t>
            </w:r>
          </w:p>
        </w:tc>
        <w:tc>
          <w:tcPr>
            <w:tcW w:type="dxa" w:w="1337"/>
            <w:shd w:fill="FFFFFF"/>
            <w:tcMar>
              <w:top w:w="100" w:type="dxa"/>
              <w:bottom w:w="100" w:type="dxa"/>
              <w:left w:w="140" w:type="dxa"/>
              <w:right w:w="140" w:type="dxa"/>
            </w:tcMar>
          </w:tcPr>
          <w:p>
            <w:pPr>
              <w:jc w:val="left"/>
            </w:pPr>
            <w:r>
              <w:rPr>
                <w:color w:val="1E293B"/>
                <w:sz w:val="19"/>
              </w:rPr>
              <w:t>70.82</w:t>
            </w:r>
          </w:p>
        </w:tc>
        <w:tc>
          <w:tcPr>
            <w:tcW w:type="dxa" w:w="1337"/>
            <w:shd w:fill="FFFFFF"/>
            <w:tcMar>
              <w:top w:w="100" w:type="dxa"/>
              <w:bottom w:w="100" w:type="dxa"/>
              <w:left w:w="140" w:type="dxa"/>
              <w:right w:w="140" w:type="dxa"/>
            </w:tcMar>
          </w:tcPr>
          <w:p>
            <w:pPr>
              <w:jc w:val="left"/>
            </w:pPr>
            <w:r>
              <w:rPr>
                <w:color w:val="1E293B"/>
                <w:sz w:val="19"/>
              </w:rPr>
              <w:t>71.85</w:t>
            </w:r>
          </w:p>
        </w:tc>
        <w:tc>
          <w:tcPr>
            <w:tcW w:type="dxa" w:w="1337"/>
            <w:shd w:fill="FFFFFF"/>
            <w:tcMar>
              <w:top w:w="100" w:type="dxa"/>
              <w:bottom w:w="100" w:type="dxa"/>
              <w:left w:w="140" w:type="dxa"/>
              <w:right w:w="140" w:type="dxa"/>
            </w:tcMar>
          </w:tcPr>
          <w:p>
            <w:pPr>
              <w:jc w:val="left"/>
            </w:pPr>
            <w:r>
              <w:rPr>
                <w:color w:val="1E293B"/>
                <w:sz w:val="19"/>
              </w:rPr>
              <w:t>83.47</w:t>
            </w:r>
          </w:p>
        </w:tc>
        <w:tc>
          <w:tcPr>
            <w:tcW w:type="dxa" w:w="1337"/>
            <w:shd w:fill="FFFFFF"/>
            <w:tcMar>
              <w:top w:w="100" w:type="dxa"/>
              <w:bottom w:w="100" w:type="dxa"/>
              <w:left w:w="140" w:type="dxa"/>
              <w:right w:w="140" w:type="dxa"/>
            </w:tcMar>
          </w:tcPr>
          <w:p>
            <w:pPr>
              <w:jc w:val="left"/>
            </w:pPr>
            <w:r>
              <w:rPr>
                <w:color w:val="1E293B"/>
                <w:sz w:val="19"/>
              </w:rPr>
              <w:t>77.23</w:t>
            </w:r>
          </w:p>
        </w:tc>
      </w:tr>
      <w:tr>
        <w:tc>
          <w:tcPr>
            <w:tcW w:type="dxa" w:w="1337"/>
            <w:shd w:fill="F8FAFC"/>
            <w:tcMar>
              <w:top w:w="100" w:type="dxa"/>
              <w:bottom w:w="100" w:type="dxa"/>
              <w:left w:w="140" w:type="dxa"/>
              <w:right w:w="140" w:type="dxa"/>
            </w:tcMar>
          </w:tcPr>
          <w:p>
            <w:pPr>
              <w:jc w:val="left"/>
            </w:pPr>
            <w:r>
              <w:rPr>
                <w:color w:val="1E293B"/>
                <w:sz w:val="19"/>
              </w:rPr>
              <w:t xml:space="preserve">MLM_80_(10_TF_IDF)_10 </w:t>
            </w:r>
            <w:r>
              <w:rPr>
                <w:b/>
                <w:color w:val="1E293B"/>
                <w:sz w:val="19"/>
              </w:rPr>
              <w:t xml:space="preserve"> [9]</w:t>
            </w:r>
          </w:p>
        </w:tc>
        <w:tc>
          <w:tcPr>
            <w:tcW w:type="dxa" w:w="1337"/>
            <w:shd w:fill="F8FAFC"/>
            <w:tcMar>
              <w:top w:w="100" w:type="dxa"/>
              <w:bottom w:w="100" w:type="dxa"/>
              <w:left w:w="140" w:type="dxa"/>
              <w:right w:w="140" w:type="dxa"/>
            </w:tcMar>
          </w:tcPr>
          <w:p>
            <w:pPr>
              <w:jc w:val="left"/>
            </w:pPr>
            <w:r>
              <w:rPr>
                <w:color w:val="1E293B"/>
                <w:sz w:val="19"/>
              </w:rPr>
              <w:t>86.59</w:t>
            </w:r>
          </w:p>
        </w:tc>
        <w:tc>
          <w:tcPr>
            <w:tcW w:type="dxa" w:w="1337"/>
            <w:shd w:fill="F8FAFC"/>
            <w:tcMar>
              <w:top w:w="100" w:type="dxa"/>
              <w:bottom w:w="100" w:type="dxa"/>
              <w:left w:w="140" w:type="dxa"/>
              <w:right w:w="140" w:type="dxa"/>
            </w:tcMar>
          </w:tcPr>
          <w:p>
            <w:pPr>
              <w:jc w:val="left"/>
            </w:pPr>
            <w:r>
              <w:rPr>
                <w:color w:val="1E293B"/>
                <w:sz w:val="19"/>
              </w:rPr>
              <w:t>61.75</w:t>
            </w:r>
          </w:p>
        </w:tc>
        <w:tc>
          <w:tcPr>
            <w:tcW w:type="dxa" w:w="1337"/>
            <w:shd w:fill="F8FAFC"/>
            <w:tcMar>
              <w:top w:w="100" w:type="dxa"/>
              <w:bottom w:w="100" w:type="dxa"/>
              <w:left w:w="140" w:type="dxa"/>
              <w:right w:w="140" w:type="dxa"/>
            </w:tcMar>
          </w:tcPr>
          <w:p>
            <w:pPr>
              <w:jc w:val="left"/>
            </w:pPr>
            <w:r>
              <w:rPr>
                <w:color w:val="1E293B"/>
                <w:sz w:val="19"/>
              </w:rPr>
              <w:t>72.09</w:t>
            </w:r>
          </w:p>
        </w:tc>
        <w:tc>
          <w:tcPr>
            <w:tcW w:type="dxa" w:w="1337"/>
            <w:shd w:fill="F8FAFC"/>
            <w:tcMar>
              <w:top w:w="100" w:type="dxa"/>
              <w:bottom w:w="100" w:type="dxa"/>
              <w:left w:w="140" w:type="dxa"/>
              <w:right w:w="140" w:type="dxa"/>
            </w:tcMar>
          </w:tcPr>
          <w:p>
            <w:pPr>
              <w:jc w:val="left"/>
            </w:pPr>
            <w:r>
              <w:rPr>
                <w:color w:val="1E293B"/>
                <w:sz w:val="19"/>
              </w:rPr>
              <w:t>68.73</w:t>
            </w:r>
          </w:p>
        </w:tc>
        <w:tc>
          <w:tcPr>
            <w:tcW w:type="dxa" w:w="1337"/>
            <w:shd w:fill="F8FAFC"/>
            <w:tcMar>
              <w:top w:w="100" w:type="dxa"/>
              <w:bottom w:w="100" w:type="dxa"/>
              <w:left w:w="140" w:type="dxa"/>
              <w:right w:w="140" w:type="dxa"/>
            </w:tcMar>
          </w:tcPr>
          <w:p>
            <w:pPr>
              <w:jc w:val="left"/>
            </w:pPr>
            <w:r>
              <w:rPr>
                <w:color w:val="1E293B"/>
                <w:sz w:val="19"/>
              </w:rPr>
              <w:t>81.62</w:t>
            </w:r>
          </w:p>
        </w:tc>
        <w:tc>
          <w:tcPr>
            <w:tcW w:type="dxa" w:w="1337"/>
            <w:shd w:fill="F8FAFC"/>
            <w:tcMar>
              <w:top w:w="100" w:type="dxa"/>
              <w:bottom w:w="100" w:type="dxa"/>
              <w:left w:w="140" w:type="dxa"/>
              <w:right w:w="140" w:type="dxa"/>
            </w:tcMar>
          </w:tcPr>
          <w:p>
            <w:pPr>
              <w:jc w:val="left"/>
            </w:pPr>
            <w:r>
              <w:rPr>
                <w:color w:val="1E293B"/>
                <w:sz w:val="19"/>
              </w:rPr>
              <w:t>74.62</w:t>
            </w:r>
          </w:p>
        </w:tc>
      </w:tr>
      <w:tr>
        <w:tc>
          <w:tcPr>
            <w:tcW w:type="dxa" w:w="1337"/>
            <w:shd w:fill="FFFFFF"/>
            <w:tcMar>
              <w:top w:w="100" w:type="dxa"/>
              <w:bottom w:w="100" w:type="dxa"/>
              <w:left w:w="140" w:type="dxa"/>
              <w:right w:w="140" w:type="dxa"/>
            </w:tcMar>
          </w:tcPr>
          <w:p>
            <w:pPr>
              <w:jc w:val="left"/>
            </w:pPr>
            <w:r>
              <w:rPr>
                <w:color w:val="1E293B"/>
                <w:sz w:val="19"/>
              </w:rPr>
              <w:t xml:space="preserve">MLM_80_(20_TF_IDF)_0 </w:t>
            </w:r>
            <w:r>
              <w:rPr>
                <w:b/>
                <w:color w:val="1E293B"/>
                <w:sz w:val="19"/>
              </w:rPr>
              <w:t xml:space="preserve"> [9]</w:t>
            </w:r>
          </w:p>
        </w:tc>
        <w:tc>
          <w:tcPr>
            <w:tcW w:type="dxa" w:w="1337"/>
            <w:shd w:fill="FFFFFF"/>
            <w:tcMar>
              <w:top w:w="100" w:type="dxa"/>
              <w:bottom w:w="100" w:type="dxa"/>
              <w:left w:w="140" w:type="dxa"/>
              <w:right w:w="140" w:type="dxa"/>
            </w:tcMar>
          </w:tcPr>
          <w:p>
            <w:pPr>
              <w:jc w:val="left"/>
            </w:pPr>
            <w:r>
              <w:rPr>
                <w:color w:val="1E293B"/>
                <w:sz w:val="19"/>
              </w:rPr>
              <w:t>86.61</w:t>
            </w:r>
          </w:p>
        </w:tc>
        <w:tc>
          <w:tcPr>
            <w:tcW w:type="dxa" w:w="1337"/>
            <w:shd w:fill="FFFFFF"/>
            <w:tcMar>
              <w:top w:w="100" w:type="dxa"/>
              <w:bottom w:w="100" w:type="dxa"/>
              <w:left w:w="140" w:type="dxa"/>
              <w:right w:w="140" w:type="dxa"/>
            </w:tcMar>
          </w:tcPr>
          <w:p>
            <w:pPr>
              <w:jc w:val="left"/>
            </w:pPr>
            <w:r>
              <w:rPr>
                <w:color w:val="1E293B"/>
                <w:sz w:val="19"/>
              </w:rPr>
              <w:t>61.83</w:t>
            </w:r>
          </w:p>
        </w:tc>
        <w:tc>
          <w:tcPr>
            <w:tcW w:type="dxa" w:w="1337"/>
            <w:shd w:fill="FFFFFF"/>
            <w:tcMar>
              <w:top w:w="100" w:type="dxa"/>
              <w:bottom w:w="100" w:type="dxa"/>
              <w:left w:w="140" w:type="dxa"/>
              <w:right w:w="140" w:type="dxa"/>
            </w:tcMar>
          </w:tcPr>
          <w:p>
            <w:pPr>
              <w:jc w:val="left"/>
            </w:pPr>
            <w:r>
              <w:rPr>
                <w:color w:val="1E293B"/>
                <w:sz w:val="19"/>
              </w:rPr>
              <w:t>72.15</w:t>
            </w:r>
          </w:p>
        </w:tc>
        <w:tc>
          <w:tcPr>
            <w:tcW w:type="dxa" w:w="1337"/>
            <w:shd w:fill="FFFFFF"/>
            <w:tcMar>
              <w:top w:w="100" w:type="dxa"/>
              <w:bottom w:w="100" w:type="dxa"/>
              <w:left w:w="140" w:type="dxa"/>
              <w:right w:w="140" w:type="dxa"/>
            </w:tcMar>
          </w:tcPr>
          <w:p>
            <w:pPr>
              <w:jc w:val="left"/>
            </w:pPr>
            <w:r>
              <w:rPr>
                <w:color w:val="1E293B"/>
                <w:sz w:val="19"/>
              </w:rPr>
              <w:t>67.53</w:t>
            </w:r>
          </w:p>
        </w:tc>
        <w:tc>
          <w:tcPr>
            <w:tcW w:type="dxa" w:w="1337"/>
            <w:shd w:fill="FFFFFF"/>
            <w:tcMar>
              <w:top w:w="100" w:type="dxa"/>
              <w:bottom w:w="100" w:type="dxa"/>
              <w:left w:w="140" w:type="dxa"/>
              <w:right w:w="140" w:type="dxa"/>
            </w:tcMar>
          </w:tcPr>
          <w:p>
            <w:pPr>
              <w:jc w:val="left"/>
            </w:pPr>
            <w:r>
              <w:rPr>
                <w:color w:val="1E293B"/>
                <w:sz w:val="19"/>
              </w:rPr>
              <w:t>81.15</w:t>
            </w:r>
          </w:p>
        </w:tc>
        <w:tc>
          <w:tcPr>
            <w:tcW w:type="dxa" w:w="1337"/>
            <w:shd w:fill="FFFFFF"/>
            <w:tcMar>
              <w:top w:w="100" w:type="dxa"/>
              <w:bottom w:w="100" w:type="dxa"/>
              <w:left w:w="140" w:type="dxa"/>
              <w:right w:w="140" w:type="dxa"/>
            </w:tcMar>
          </w:tcPr>
          <w:p>
            <w:pPr>
              <w:jc w:val="left"/>
            </w:pPr>
            <w:r>
              <w:rPr>
                <w:color w:val="1E293B"/>
                <w:sz w:val="19"/>
              </w:rPr>
              <w:t>73.72</w:t>
            </w:r>
          </w:p>
        </w:tc>
      </w:tr>
    </w:tbl>
    <w:p>
      <w:pPr>
        <w:spacing w:after="120"/>
      </w:pPr>
    </w:p>
    <w:p>
      <w:pPr>
        <w:spacing w:before="200" w:after="80"/>
      </w:pPr>
      <w:r>
        <w:rPr>
          <w:rFonts w:ascii="Arial" w:hAnsi="Arial"/>
          <w:b/>
          <w:color w:val="1E293B"/>
          <w:sz w:val="22"/>
        </w:rPr>
        <w:t>5. Limitations &amp; Open Questions</w:t>
      </w:r>
    </w:p>
    <w:p>
      <w:pPr>
        <w:spacing w:before="40" w:after="120" w:line="276" w:lineRule="auto"/>
      </w:pPr>
      <w:r>
        <w:t xml:space="preserve">Author-stated limitations include the use of legal text extracted strictly from publicly available theses (due to data sensitivity) rather than direct professional files </w:t>
      </w:r>
      <w:r>
        <w:rPr>
          <w:b/>
          <w:color w:val="0284C7"/>
          <w:sz w:val="19"/>
        </w:rPr>
        <w:t xml:space="preserve"> [10]</w:t>
      </w:r>
      <w:r>
        <w:t xml:space="preserve">. The scope was restricted to legal Turkish text and two downstream tasks (NER and multi-label text classification) evaluated for a single epoch </w:t>
      </w:r>
      <w:r>
        <w:rPr>
          <w:b/>
          <w:color w:val="0284C7"/>
          <w:sz w:val="19"/>
        </w:rPr>
        <w:t xml:space="preserve"> [10]</w:t>
      </w:r>
      <w:r>
        <w:t xml:space="preserve">. Author-planned future work includes incorporating legal professionals' files, expanding to multilingual/multi-field corpora, testing additional downstream tasks (question answering, binary classification), executing multi-epoch training, adapting TF-IDF enhancements to whole-word levels, and scaling up the pre-training corpus </w:t>
      </w:r>
      <w:r>
        <w:rPr>
          <w:b/>
          <w:color w:val="0284C7"/>
          <w:sz w:val="19"/>
        </w:rPr>
        <w:t xml:space="preserve"> [10]</w:t>
      </w:r>
      <w:r>
        <w:t>.</w:t>
      </w:r>
    </w:p>
    <w:p>
      <w:pPr>
        <w:spacing w:before="200" w:after="80"/>
      </w:pPr>
      <w:r>
        <w:rPr>
          <w:rFonts w:ascii="Arial" w:hAnsi="Arial"/>
          <w:b/>
          <w:color w:val="0284C7"/>
          <w:sz w:val="24"/>
        </w:rPr>
        <w:t>Paper 4. 2-Selmer Groups over Multiquadratic Extensions</w:t>
      </w:r>
    </w:p>
    <w:p>
      <w:pPr>
        <w:spacing w:before="200" w:after="80"/>
      </w:pPr>
      <w:r>
        <w:rPr>
          <w:rFonts w:ascii="Arial" w:hAnsi="Arial"/>
          <w:b/>
          <w:color w:val="1E293B"/>
          <w:sz w:val="22"/>
        </w:rPr>
        <w:t>1. Core Problem &amp; Objective</w:t>
      </w:r>
    </w:p>
    <w:p>
      <w:pPr>
        <w:spacing w:before="40" w:after="120" w:line="276" w:lineRule="auto"/>
      </w:pPr>
      <w:r>
        <w:t>The paper investigates the average dimension of 2-Selmer groups of elliptic curves over multiquadratic extensions (</w:t>
      </w:r>
      <w:r>
        <w:rPr>
          <w:rFonts w:ascii="Cambria Math" w:hAnsi="Cambria Math"/>
          <w:i/>
          <w:color w:val="0F2942"/>
        </w:rPr>
        <w:t xml:space="preserve"> K/mathbbQ </w:t>
      </w:r>
      <w:r>
        <w:t xml:space="preserve">), establishing upper and lower bounds for this average </w:t>
      </w:r>
      <w:r>
        <w:rPr>
          <w:b/>
          <w:color w:val="0284C7"/>
          <w:sz w:val="19"/>
        </w:rPr>
        <w:t xml:space="preserve"> [11, 14]</w:t>
      </w:r>
      <w:r>
        <w:t>.</w:t>
      </w:r>
    </w:p>
    <w:p>
      <w:pPr>
        <w:spacing w:before="200" w:after="80"/>
      </w:pPr>
      <w:r>
        <w:rPr>
          <w:rFonts w:ascii="Arial" w:hAnsi="Arial"/>
          <w:b/>
          <w:color w:val="1E293B"/>
          <w:sz w:val="22"/>
        </w:rPr>
        <w:t>2. Methodology &amp; Architecture</w:t>
      </w:r>
    </w:p>
    <w:p>
      <w:pPr>
        <w:spacing w:before="40" w:after="120" w:line="276" w:lineRule="auto"/>
      </w:pPr>
      <w:r>
        <w:t xml:space="preserve">The study examines the genus theory invariant for 2-Selmer groups over multiquadratic extensions and applies a variant of the Ekedahl sieve for local sums </w:t>
      </w:r>
      <w:r>
        <w:rPr>
          <w:b/>
          <w:color w:val="0284C7"/>
          <w:sz w:val="19"/>
        </w:rPr>
        <w:t xml:space="preserve"> [14, 15]</w:t>
      </w:r>
      <w:r>
        <w:t xml:space="preserve">. It systematically analyzes local norm indices and computes </w:t>
      </w:r>
      <w:r>
        <w:rPr>
          <w:rFonts w:ascii="Cambria Math" w:hAnsi="Cambria Math"/>
          <w:i/>
          <w:color w:val="0F2942"/>
        </w:rPr>
        <w:t xml:space="preserve"> p </w:t>
      </w:r>
      <w:r>
        <w:t xml:space="preserve">-adic integrals of local norm indices to prove bounds on average dimensions </w:t>
      </w:r>
      <w:r>
        <w:rPr>
          <w:b/>
          <w:color w:val="0284C7"/>
          <w:sz w:val="19"/>
        </w:rPr>
        <w:t xml:space="preserve"> [15]</w:t>
      </w:r>
      <w:r>
        <w:t>.</w:t>
      </w:r>
    </w:p>
    <w:p>
      <w:pPr>
        <w:spacing w:before="200" w:after="80"/>
      </w:pPr>
      <w:r>
        <w:rPr>
          <w:rFonts w:ascii="Arial" w:hAnsi="Arial"/>
          <w:b/>
          <w:color w:val="1E293B"/>
          <w:sz w:val="22"/>
        </w:rPr>
        <w:t>3. Experimental Setup &amp; Datasets</w:t>
      </w:r>
    </w:p>
    <w:p>
      <w:pPr>
        <w:spacing w:before="40" w:after="120" w:line="276" w:lineRule="auto"/>
      </w:pPr>
      <w:r>
        <w:t xml:space="preserve">The analysis relies on algebraic number theory frameworks, considering families of all elliptic curves defined over </w:t>
      </w:r>
      <w:r>
        <w:rPr>
          <w:rFonts w:ascii="Cambria Math" w:hAnsi="Cambria Math"/>
          <w:i/>
          <w:color w:val="0F2942"/>
        </w:rPr>
        <w:t xml:space="preserve"> mathbbQ </w:t>
      </w:r>
      <w:r>
        <w:t xml:space="preserve"> ordered by naïve height (</w:t>
      </w:r>
      <w:r>
        <w:rPr>
          <w:rFonts w:ascii="Cambria Math" w:hAnsi="Cambria Math"/>
          <w:i/>
          <w:color w:val="0F2942"/>
        </w:rPr>
        <w:t xml:space="preserve"> X to ∞ </w:t>
      </w:r>
      <w:r>
        <w:t xml:space="preserve">) </w:t>
      </w:r>
      <w:r>
        <w:rPr>
          <w:b/>
          <w:color w:val="0284C7"/>
          <w:sz w:val="19"/>
        </w:rPr>
        <w:t xml:space="preserve"> [11, 14]</w:t>
      </w:r>
      <w:r>
        <w:t xml:space="preserve">. Local calculations incorporate Tate's Algorithm for minimal models in residue characteristics at least 5 </w:t>
      </w:r>
      <w:r>
        <w:rPr>
          <w:b/>
          <w:color w:val="0284C7"/>
          <w:sz w:val="19"/>
        </w:rPr>
        <w:t xml:space="preserve"> [12, 13]</w:t>
      </w:r>
      <w:r>
        <w:t>.</w:t>
      </w:r>
    </w:p>
    <w:p>
      <w:pPr>
        <w:spacing w:before="200" w:after="80"/>
      </w:pPr>
      <w:r>
        <w:rPr>
          <w:rFonts w:ascii="Arial" w:hAnsi="Arial"/>
          <w:b/>
          <w:color w:val="1E293B"/>
          <w:sz w:val="22"/>
        </w:rPr>
        <w:t>4. Key Findings &amp; Reported Metrics</w:t>
      </w:r>
    </w:p>
    <w:p>
      <w:pPr>
        <w:spacing w:before="40" w:after="120" w:line="276" w:lineRule="auto"/>
      </w:pPr>
      <w:r>
        <w:t xml:space="preserve">The article establishes stronger upper bounds for </w:t>
      </w:r>
      <w:r>
        <w:rPr>
          <w:rFonts w:ascii="Cambria Math" w:hAnsi="Cambria Math"/>
          <w:i/>
          <w:color w:val="0F2942"/>
        </w:rPr>
        <w:t xml:space="preserve"> A^+(K) </w:t>
      </w:r>
      <w:r>
        <w:t xml:space="preserve"> (upper limit) and positive lower bounds for </w:t>
      </w:r>
      <w:r>
        <w:rPr>
          <w:rFonts w:ascii="Cambria Math" w:hAnsi="Cambria Math"/>
          <w:i/>
          <w:color w:val="0F2942"/>
        </w:rPr>
        <w:t xml:space="preserve"> A^-(K) </w:t>
      </w:r>
      <w:r>
        <w:t xml:space="preserve"> (lower limit) when </w:t>
      </w:r>
      <w:r>
        <w:rPr>
          <w:rFonts w:ascii="Cambria Math" w:hAnsi="Cambria Math"/>
          <w:i/>
          <w:color w:val="0F2942"/>
        </w:rPr>
        <w:t xml:space="preserve"> K/mathbbQ </w:t>
      </w:r>
      <w:r>
        <w:t xml:space="preserve"> is a multiquadratic extension </w:t>
      </w:r>
      <w:r>
        <w:rPr>
          <w:b/>
          <w:color w:val="0284C7"/>
          <w:sz w:val="19"/>
        </w:rPr>
        <w:t xml:space="preserve"> [11]</w:t>
      </w:r>
      <w:r>
        <w:t xml:space="preserve">. It proves that in the sieved set, the average is equal to the sum of corresponding </w:t>
      </w:r>
      <w:r>
        <w:rPr>
          <w:rFonts w:ascii="Cambria Math" w:hAnsi="Cambria Math"/>
          <w:i/>
          <w:color w:val="0F2942"/>
        </w:rPr>
        <w:t xml:space="preserve"> p </w:t>
      </w:r>
      <w:r>
        <w:t xml:space="preserve">-adic averages </w:t>
      </w:r>
      <w:r>
        <w:rPr>
          <w:b/>
          <w:color w:val="0284C7"/>
          <w:sz w:val="19"/>
        </w:rPr>
        <w:t xml:space="preserve"> [15]</w:t>
      </w:r>
      <w:r>
        <w:t xml:space="preserve">. In quadratic fields, these bounds are shown to be closely aligned for a positive proportion of extensions </w:t>
      </w:r>
      <w:r>
        <w:rPr>
          <w:b/>
          <w:color w:val="0284C7"/>
          <w:sz w:val="19"/>
        </w:rPr>
        <w:t xml:space="preserve"> [14]</w:t>
      </w:r>
      <w:r>
        <w:t>.</w:t>
      </w:r>
    </w:p>
    <w:p>
      <w:pPr>
        <w:spacing w:before="200" w:after="80"/>
      </w:pPr>
      <w:r>
        <w:rPr>
          <w:rFonts w:ascii="Arial" w:hAnsi="Arial"/>
          <w:b/>
          <w:color w:val="1E293B"/>
          <w:sz w:val="22"/>
        </w:rPr>
        <w:t>5. Limitations &amp; Open Questions</w:t>
      </w:r>
    </w:p>
    <w:p>
      <w:pPr>
        <w:spacing w:before="40" w:after="120" w:line="276" w:lineRule="auto"/>
      </w:pPr>
      <w:r>
        <w:t xml:space="preserve">The provided text does not explicitly state formal failure modes or limitations, though the methodology relies on specific assumptions regarding Ekedahl-type subsets of lattices and local norm index behaviors </w:t>
      </w:r>
      <w:r>
        <w:rPr>
          <w:b/>
          <w:color w:val="0284C7"/>
          <w:sz w:val="19"/>
        </w:rPr>
        <w:t xml:space="preserve"> [15]</w:t>
      </w:r>
      <w:r>
        <w:t>.</w:t>
      </w:r>
    </w:p>
    <w:p>
      <w:pPr>
        <w:spacing w:before="200" w:after="80"/>
      </w:pPr>
      <w:r>
        <w:rPr>
          <w:rFonts w:ascii="Arial" w:hAnsi="Arial"/>
          <w:b/>
          <w:color w:val="0284C7"/>
          <w:sz w:val="24"/>
        </w:rPr>
        <w:t>Paper 5. Gated Sparse Attention: Combining Computational Efficiency with High Performance</w:t>
      </w:r>
    </w:p>
    <w:p>
      <w:pPr>
        <w:spacing w:before="200" w:after="80"/>
      </w:pPr>
      <w:r>
        <w:rPr>
          <w:rFonts w:ascii="Arial" w:hAnsi="Arial"/>
          <w:b/>
          <w:color w:val="1E293B"/>
          <w:sz w:val="22"/>
        </w:rPr>
        <w:t>1. Core Problem &amp; Objective</w:t>
      </w:r>
    </w:p>
    <w:p>
      <w:pPr>
        <w:spacing w:before="40" w:after="120" w:line="276" w:lineRule="auto"/>
      </w:pPr>
      <w:r>
        <w:t xml:space="preserve">The paper addresses the computational trade-offs in transformer attention mechanisms, introducing Gated Sparse Attention (GSA) to combine the throughput efficiency of sparse token selection with the stability and expressiveness of gating </w:t>
      </w:r>
      <w:r>
        <w:rPr>
          <w:b/>
          <w:color w:val="0284C7"/>
          <w:sz w:val="19"/>
        </w:rPr>
        <w:t xml:space="preserve"> [17, 18]</w:t>
      </w:r>
      <w:r>
        <w:t>.</w:t>
      </w:r>
    </w:p>
    <w:p>
      <w:pPr>
        <w:spacing w:before="200" w:after="80"/>
      </w:pPr>
      <w:r>
        <w:rPr>
          <w:rFonts w:ascii="Arial" w:hAnsi="Arial"/>
          <w:b/>
          <w:color w:val="1E293B"/>
          <w:sz w:val="22"/>
        </w:rPr>
        <w:t>2. Methodology &amp; Architecture</w:t>
      </w:r>
    </w:p>
    <w:p>
      <w:pPr>
        <w:spacing w:before="40" w:after="120" w:line="276" w:lineRule="auto"/>
      </w:pPr>
      <w:r>
        <w:t xml:space="preserve">GSA consists of three components: (1) a gated lightning indexer utilizing sigmoid units instead of ReLU scoring to yield probabilistic importance scores in </w:t>
      </w:r>
      <w:r>
        <w:rPr>
          <w:rFonts w:ascii="Cambria Math" w:hAnsi="Cambria Math"/>
          <w:i/>
          <w:color w:val="0F2942"/>
        </w:rPr>
        <w:t xml:space="preserve"> (0, H_I) </w:t>
      </w:r>
      <w:r>
        <w:t xml:space="preserve">; (2) an adaptive sparsity controller that modulates selection budget </w:t>
      </w:r>
      <w:r>
        <w:rPr>
          <w:rFonts w:ascii="Cambria Math" w:hAnsi="Cambria Math"/>
          <w:i/>
          <w:color w:val="0F2942"/>
        </w:rPr>
        <w:t xml:space="preserve"> k_t </w:t>
      </w:r>
      <w:r>
        <w:t xml:space="preserve"> based on score variance; and (3) dual gating applied to values before aggregation (</w:t>
      </w:r>
      <w:r>
        <w:rPr>
          <w:rFonts w:ascii="Cambria Math" w:hAnsi="Cambria Math"/>
          <w:i/>
          <w:color w:val="0F2942"/>
        </w:rPr>
        <w:t xml:space="preserve"> G_2 </w:t>
      </w:r>
      <w:r>
        <w:t>) and outputs after scaled dot-product attention (</w:t>
      </w:r>
      <w:r>
        <w:rPr>
          <w:rFonts w:ascii="Cambria Math" w:hAnsi="Cambria Math"/>
          <w:i/>
          <w:color w:val="0F2942"/>
        </w:rPr>
        <w:t xml:space="preserve"> G_1 </w:t>
      </w:r>
      <w:r>
        <w:t xml:space="preserve">) </w:t>
      </w:r>
      <w:r>
        <w:rPr>
          <w:b/>
          <w:color w:val="0284C7"/>
          <w:sz w:val="19"/>
        </w:rPr>
        <w:t xml:space="preserve"> [18]</w:t>
      </w:r>
      <w:r>
        <w:t xml:space="preserve">. Models employ learning-rate multipliers (10× for the indexer, 1× for base model and gates) </w:t>
      </w:r>
      <w:r>
        <w:rPr>
          <w:b/>
          <w:color w:val="0284C7"/>
          <w:sz w:val="19"/>
        </w:rPr>
        <w:t xml:space="preserve"> [16]</w:t>
      </w:r>
      <w:r>
        <w:t>.</w:t>
      </w:r>
    </w:p>
    <w:p>
      <w:pPr>
        <w:spacing w:before="200" w:after="80"/>
      </w:pPr>
      <w:r>
        <w:rPr>
          <w:rFonts w:ascii="Arial" w:hAnsi="Arial"/>
          <w:b/>
          <w:color w:val="1E293B"/>
          <w:sz w:val="22"/>
        </w:rPr>
        <w:t>3. Experimental Setup &amp; Datasets</w:t>
      </w:r>
    </w:p>
    <w:p>
      <w:pPr>
        <w:spacing w:before="40" w:after="120" w:line="276" w:lineRule="auto"/>
      </w:pPr>
      <w:r>
        <w:t xml:space="preserve">Models of 1.7B parameters were trained from scratch on 400B tokens drawn from SlimPajama using 24 layers, hidden dimension 2048, 16 query heads, 4 key-value heads, and SwiGLU feed-forward blocks across 8× H100 GPUs </w:t>
      </w:r>
      <w:r>
        <w:rPr>
          <w:b/>
          <w:color w:val="0284C7"/>
          <w:sz w:val="19"/>
        </w:rPr>
        <w:t xml:space="preserve"> [16]</w:t>
      </w:r>
      <w:r>
        <w:t xml:space="preserve">. Evaluations measured perplexity on WikiText-103 and C4, alongside five downstream benchmarks and long-context evaluations up to 128K tokens via YaRN positional interpolation </w:t>
      </w:r>
      <w:r>
        <w:rPr>
          <w:b/>
          <w:color w:val="0284C7"/>
          <w:sz w:val="19"/>
        </w:rPr>
        <w:t xml:space="preserve"> [16, 17]</w:t>
      </w:r>
      <w:r>
        <w:t>.</w:t>
      </w:r>
    </w:p>
    <w:p>
      <w:pPr>
        <w:spacing w:before="200" w:after="80"/>
      </w:pPr>
      <w:r>
        <w:rPr>
          <w:rFonts w:ascii="Arial" w:hAnsi="Arial"/>
          <w:b/>
          <w:color w:val="1E293B"/>
          <w:sz w:val="22"/>
        </w:rPr>
        <w:t>4. Key Findings &amp; Reported Metrics</w:t>
      </w:r>
    </w:p>
    <w:p>
      <w:pPr>
        <w:spacing w:before="40" w:after="120" w:line="276" w:lineRule="auto"/>
      </w:pPr>
      <w:r>
        <w:t xml:space="preserve">Perplexity results (lower is better) on WikiText-103 and C4 </w:t>
      </w:r>
      <w:r>
        <w:rPr>
          <w:b/>
          <w:color w:val="0284C7"/>
          <w:sz w:val="19"/>
        </w:rPr>
        <w:t xml:space="preserve"> [16]</w:t>
      </w:r>
      <w:r>
        <w:t>:</w:t>
      </w:r>
    </w:p>
    <w:tbl>
      <w:tblPr>
        <w:tblW w:type="auto" w:w="0"/>
        <w:jc w:val="center"/>
        <w:tblLook w:firstColumn="1" w:firstRow="1" w:lastColumn="0" w:lastRow="0" w:noHBand="0" w:noVBand="1" w:val="04A0"/>
      </w:tblPr>
      <w:tblGrid>
        <w:gridCol w:w="3120"/>
        <w:gridCol w:w="3120"/>
        <w:gridCol w:w="3120"/>
      </w:tblGrid>
      <w:tr>
        <w:tc>
          <w:tcPr>
            <w:tcW w:type="dxa" w:w="3120"/>
            <w:shd w:fill="0F2942"/>
            <w:tcMar>
              <w:top w:w="120" w:type="dxa"/>
              <w:bottom w:w="120" w:type="dxa"/>
              <w:left w:w="140" w:type="dxa"/>
              <w:right w:w="140" w:type="dxa"/>
            </w:tcMar>
          </w:tcPr>
          <w:p>
            <w:pPr>
              <w:jc w:val="left"/>
            </w:pPr>
            <w:r>
              <w:rPr>
                <w:b/>
                <w:color w:val="FFFFFF"/>
                <w:sz w:val="19"/>
              </w:rPr>
              <w:t>Model</w:t>
            </w:r>
          </w:p>
        </w:tc>
        <w:tc>
          <w:tcPr>
            <w:tcW w:type="dxa" w:w="3120"/>
            <w:shd w:fill="0F2942"/>
            <w:tcMar>
              <w:top w:w="120" w:type="dxa"/>
              <w:bottom w:w="120" w:type="dxa"/>
              <w:left w:w="140" w:type="dxa"/>
              <w:right w:w="140" w:type="dxa"/>
            </w:tcMar>
          </w:tcPr>
          <w:p>
            <w:pPr>
              <w:jc w:val="left"/>
            </w:pPr>
            <w:r>
              <w:rPr>
                <w:b/>
                <w:color w:val="FFFFFF"/>
                <w:sz w:val="19"/>
              </w:rPr>
              <w:t>WikiText-103 Perplexity</w:t>
            </w:r>
          </w:p>
        </w:tc>
        <w:tc>
          <w:tcPr>
            <w:tcW w:type="dxa" w:w="3120"/>
            <w:shd w:fill="0F2942"/>
            <w:tcMar>
              <w:top w:w="120" w:type="dxa"/>
              <w:bottom w:w="120" w:type="dxa"/>
              <w:left w:w="140" w:type="dxa"/>
              <w:right w:w="140" w:type="dxa"/>
            </w:tcMar>
          </w:tcPr>
          <w:p>
            <w:pPr>
              <w:jc w:val="left"/>
            </w:pPr>
            <w:r>
              <w:rPr>
                <w:b/>
                <w:color w:val="FFFFFF"/>
                <w:sz w:val="19"/>
              </w:rPr>
              <w:t>C4 Perplexity</w:t>
            </w:r>
          </w:p>
        </w:tc>
      </w:tr>
      <w:tr>
        <w:tc>
          <w:tcPr>
            <w:tcW w:type="dxa" w:w="3120"/>
            <w:shd w:fill="F8FAFC"/>
            <w:tcMar>
              <w:top w:w="100" w:type="dxa"/>
              <w:bottom w:w="100" w:type="dxa"/>
              <w:left w:w="140" w:type="dxa"/>
              <w:right w:w="140" w:type="dxa"/>
            </w:tcMar>
          </w:tcPr>
          <w:p>
            <w:pPr>
              <w:jc w:val="left"/>
            </w:pPr>
            <w:r>
              <w:rPr>
                <w:color w:val="1E293B"/>
                <w:sz w:val="19"/>
              </w:rPr>
              <w:t xml:space="preserve">Standard </w:t>
            </w:r>
            <w:r>
              <w:rPr>
                <w:b/>
                <w:color w:val="1E293B"/>
                <w:sz w:val="19"/>
              </w:rPr>
              <w:t xml:space="preserve"> [16]</w:t>
            </w:r>
          </w:p>
        </w:tc>
        <w:tc>
          <w:tcPr>
            <w:tcW w:type="dxa" w:w="3120"/>
            <w:shd w:fill="F8FAFC"/>
            <w:tcMar>
              <w:top w:w="100" w:type="dxa"/>
              <w:bottom w:w="100" w:type="dxa"/>
              <w:left w:w="140" w:type="dxa"/>
              <w:right w:w="140" w:type="dxa"/>
            </w:tcMar>
          </w:tcPr>
          <w:p>
            <w:pPr>
              <w:jc w:val="left"/>
            </w:pPr>
            <w:r>
              <w:rPr>
                <w:color w:val="1E293B"/>
                <w:sz w:val="19"/>
              </w:rPr>
              <w:t>6.03</w:t>
            </w:r>
          </w:p>
        </w:tc>
        <w:tc>
          <w:tcPr>
            <w:tcW w:type="dxa" w:w="3120"/>
            <w:shd w:fill="F8FAFC"/>
            <w:tcMar>
              <w:top w:w="100" w:type="dxa"/>
              <w:bottom w:w="100" w:type="dxa"/>
              <w:left w:w="140" w:type="dxa"/>
              <w:right w:w="140" w:type="dxa"/>
            </w:tcMar>
          </w:tcPr>
          <w:p>
            <w:pPr>
              <w:jc w:val="left"/>
            </w:pPr>
            <w:r>
              <w:rPr>
                <w:color w:val="1E293B"/>
                <w:sz w:val="19"/>
              </w:rPr>
              <w:t>7.82</w:t>
            </w:r>
          </w:p>
        </w:tc>
      </w:tr>
      <w:tr>
        <w:tc>
          <w:tcPr>
            <w:tcW w:type="dxa" w:w="3120"/>
            <w:shd w:fill="FFFFFF"/>
            <w:tcMar>
              <w:top w:w="100" w:type="dxa"/>
              <w:bottom w:w="100" w:type="dxa"/>
              <w:left w:w="140" w:type="dxa"/>
              <w:right w:w="140" w:type="dxa"/>
            </w:tcMar>
          </w:tcPr>
          <w:p>
            <w:pPr>
              <w:jc w:val="left"/>
            </w:pPr>
            <w:r>
              <w:rPr>
                <w:color w:val="1E293B"/>
                <w:sz w:val="19"/>
              </w:rPr>
              <w:t xml:space="preserve">Sparse only </w:t>
            </w:r>
            <w:r>
              <w:rPr>
                <w:b/>
                <w:color w:val="1E293B"/>
                <w:sz w:val="19"/>
              </w:rPr>
              <w:t xml:space="preserve"> [16]</w:t>
            </w:r>
          </w:p>
        </w:tc>
        <w:tc>
          <w:tcPr>
            <w:tcW w:type="dxa" w:w="3120"/>
            <w:shd w:fill="FFFFFF"/>
            <w:tcMar>
              <w:top w:w="100" w:type="dxa"/>
              <w:bottom w:w="100" w:type="dxa"/>
              <w:left w:w="140" w:type="dxa"/>
              <w:right w:w="140" w:type="dxa"/>
            </w:tcMar>
          </w:tcPr>
          <w:p>
            <w:pPr>
              <w:jc w:val="left"/>
            </w:pPr>
            <w:r>
              <w:rPr>
                <w:color w:val="1E293B"/>
                <w:sz w:val="19"/>
              </w:rPr>
              <w:t>6.02</w:t>
            </w:r>
          </w:p>
        </w:tc>
        <w:tc>
          <w:tcPr>
            <w:tcW w:type="dxa" w:w="3120"/>
            <w:shd w:fill="FFFFFF"/>
            <w:tcMar>
              <w:top w:w="100" w:type="dxa"/>
              <w:bottom w:w="100" w:type="dxa"/>
              <w:left w:w="140" w:type="dxa"/>
              <w:right w:w="140" w:type="dxa"/>
            </w:tcMar>
          </w:tcPr>
          <w:p>
            <w:pPr>
              <w:jc w:val="left"/>
            </w:pPr>
            <w:r>
              <w:rPr>
                <w:color w:val="1E293B"/>
                <w:sz w:val="19"/>
              </w:rPr>
              <w:t>7.79</w:t>
            </w:r>
          </w:p>
        </w:tc>
      </w:tr>
      <w:tr>
        <w:tc>
          <w:tcPr>
            <w:tcW w:type="dxa" w:w="3120"/>
            <w:shd w:fill="F8FAFC"/>
            <w:tcMar>
              <w:top w:w="100" w:type="dxa"/>
              <w:bottom w:w="100" w:type="dxa"/>
              <w:left w:w="140" w:type="dxa"/>
              <w:right w:w="140" w:type="dxa"/>
            </w:tcMar>
          </w:tcPr>
          <w:p>
            <w:pPr>
              <w:jc w:val="left"/>
            </w:pPr>
            <w:r>
              <w:rPr>
                <w:color w:val="1E293B"/>
                <w:sz w:val="19"/>
              </w:rPr>
              <w:t xml:space="preserve">Gated only </w:t>
            </w:r>
            <w:r>
              <w:rPr>
                <w:b/>
                <w:color w:val="1E293B"/>
                <w:sz w:val="19"/>
              </w:rPr>
              <w:t xml:space="preserve"> [16]</w:t>
            </w:r>
          </w:p>
        </w:tc>
        <w:tc>
          <w:tcPr>
            <w:tcW w:type="dxa" w:w="3120"/>
            <w:shd w:fill="F8FAFC"/>
            <w:tcMar>
              <w:top w:w="100" w:type="dxa"/>
              <w:bottom w:w="100" w:type="dxa"/>
              <w:left w:w="140" w:type="dxa"/>
              <w:right w:w="140" w:type="dxa"/>
            </w:tcMar>
          </w:tcPr>
          <w:p>
            <w:pPr>
              <w:jc w:val="left"/>
            </w:pPr>
            <w:r>
              <w:rPr>
                <w:color w:val="1E293B"/>
                <w:sz w:val="19"/>
              </w:rPr>
              <w:t>5.76</w:t>
            </w:r>
          </w:p>
        </w:tc>
        <w:tc>
          <w:tcPr>
            <w:tcW w:type="dxa" w:w="3120"/>
            <w:shd w:fill="F8FAFC"/>
            <w:tcMar>
              <w:top w:w="100" w:type="dxa"/>
              <w:bottom w:w="100" w:type="dxa"/>
              <w:left w:w="140" w:type="dxa"/>
              <w:right w:w="140" w:type="dxa"/>
            </w:tcMar>
          </w:tcPr>
          <w:p>
            <w:pPr>
              <w:jc w:val="left"/>
            </w:pPr>
            <w:r>
              <w:rPr>
                <w:color w:val="1E293B"/>
                <w:sz w:val="19"/>
              </w:rPr>
              <w:t>7.45</w:t>
            </w:r>
          </w:p>
        </w:tc>
      </w:tr>
      <w:tr>
        <w:tc>
          <w:tcPr>
            <w:tcW w:type="dxa" w:w="3120"/>
            <w:shd w:fill="FFFFFF"/>
            <w:tcMar>
              <w:top w:w="100" w:type="dxa"/>
              <w:bottom w:w="100" w:type="dxa"/>
              <w:left w:w="140" w:type="dxa"/>
              <w:right w:w="140" w:type="dxa"/>
            </w:tcMar>
          </w:tcPr>
          <w:p>
            <w:pPr>
              <w:jc w:val="left"/>
            </w:pPr>
            <w:r>
              <w:rPr>
                <w:color w:val="1E293B"/>
                <w:sz w:val="19"/>
              </w:rPr>
              <w:t xml:space="preserve">GSA </w:t>
            </w:r>
            <w:r>
              <w:rPr>
                <w:b/>
                <w:color w:val="1E293B"/>
                <w:sz w:val="19"/>
              </w:rPr>
              <w:t xml:space="preserve"> [16]</w:t>
            </w:r>
          </w:p>
        </w:tc>
        <w:tc>
          <w:tcPr>
            <w:tcW w:type="dxa" w:w="3120"/>
            <w:shd w:fill="FFFFFF"/>
            <w:tcMar>
              <w:top w:w="100" w:type="dxa"/>
              <w:bottom w:w="100" w:type="dxa"/>
              <w:left w:w="140" w:type="dxa"/>
              <w:right w:w="140" w:type="dxa"/>
            </w:tcMar>
          </w:tcPr>
          <w:p>
            <w:pPr>
              <w:jc w:val="left"/>
            </w:pPr>
            <w:r>
              <w:rPr>
                <w:color w:val="1E293B"/>
                <w:sz w:val="19"/>
              </w:rPr>
              <w:t>5.70</w:t>
            </w:r>
          </w:p>
        </w:tc>
        <w:tc>
          <w:tcPr>
            <w:tcW w:type="dxa" w:w="3120"/>
            <w:shd w:fill="FFFFFF"/>
            <w:tcMar>
              <w:top w:w="100" w:type="dxa"/>
              <w:bottom w:w="100" w:type="dxa"/>
              <w:left w:w="140" w:type="dxa"/>
              <w:right w:w="140" w:type="dxa"/>
            </w:tcMar>
          </w:tcPr>
          <w:p>
            <w:pPr>
              <w:jc w:val="left"/>
            </w:pPr>
            <w:r>
              <w:rPr>
                <w:color w:val="1E293B"/>
                <w:sz w:val="19"/>
              </w:rPr>
              <w:t>7.38</w:t>
            </w:r>
          </w:p>
        </w:tc>
      </w:tr>
    </w:tbl>
    <w:p>
      <w:pPr>
        <w:spacing w:after="120"/>
      </w:pPr>
    </w:p>
    <w:p>
      <w:pPr>
        <w:spacing w:before="40" w:after="120" w:line="276" w:lineRule="auto"/>
      </w:pPr>
      <w:r>
        <w:t xml:space="preserve">Empirically, GSA improves throughput by an order of magnitude at 128K context, leads across five downstream tasks (with notable gains on MMLU and GSM8K), and improves training stability </w:t>
      </w:r>
      <w:r>
        <w:rPr>
          <w:b/>
          <w:color w:val="0284C7"/>
          <w:sz w:val="19"/>
        </w:rPr>
        <w:t xml:space="preserve"> [17]</w:t>
      </w:r>
      <w:r>
        <w:t>.</w:t>
      </w:r>
    </w:p>
    <w:p>
      <w:pPr>
        <w:spacing w:before="200" w:after="80"/>
      </w:pPr>
      <w:r>
        <w:rPr>
          <w:rFonts w:ascii="Arial" w:hAnsi="Arial"/>
          <w:b/>
          <w:color w:val="1E293B"/>
          <w:sz w:val="22"/>
        </w:rPr>
        <w:t>5. Limitations &amp; Open Questions</w:t>
      </w:r>
    </w:p>
    <w:p>
      <w:pPr>
        <w:spacing w:before="40" w:after="120" w:line="276" w:lineRule="auto"/>
      </w:pPr>
      <w:r>
        <w:t xml:space="preserve">Author-stated limitations include: (1) for short sequences below roughly 4K tokens, indexer overhead can exceed sparse attention savings, requiring a switch to dense attention; (2) indexer scaling remains </w:t>
      </w:r>
      <w:r>
        <w:rPr>
          <w:rFonts w:ascii="Cambria Math" w:hAnsi="Cambria Math"/>
          <w:i/>
          <w:color w:val="0F2942"/>
        </w:rPr>
        <w:t xml:space="preserve"> O(L^2) </w:t>
      </w:r>
      <w:r>
        <w:t xml:space="preserve"> and will eventually dominate at extreme lengths beyond 1M tokens; (3) the two-phase training schedule adds minor implementation complexity; and (4) GSA introduces new hyperparameters (</w:t>
      </w:r>
      <w:r>
        <w:rPr>
          <w:rFonts w:ascii="Cambria Math" w:hAnsi="Cambria Math"/>
          <w:i/>
          <w:color w:val="0F2942"/>
        </w:rPr>
        <w:t xml:space="preserve"> k_{textbase} </w:t>
      </w:r>
      <w:r>
        <w:t xml:space="preserve">, </w:t>
      </w:r>
      <w:r>
        <w:rPr>
          <w:rFonts w:ascii="Cambria Math" w:hAnsi="Cambria Math"/>
          <w:i/>
          <w:color w:val="0F2942"/>
        </w:rPr>
        <w:t xml:space="preserve"> d_I </w:t>
      </w:r>
      <w:r>
        <w:t xml:space="preserve">, and gate initialization) requiring tuning for new domains or model scales </w:t>
      </w:r>
      <w:r>
        <w:rPr>
          <w:b/>
          <w:color w:val="0284C7"/>
          <w:sz w:val="19"/>
        </w:rPr>
        <w:t xml:space="preserve"> [17]</w:t>
      </w:r>
      <w:r>
        <w:t>.</w:t>
      </w:r>
    </w:p>
    <w:p>
      <w:pPr>
        <w:spacing w:before="360" w:after="120"/>
      </w:pPr>
      <w:r>
        <w:rPr>
          <w:rFonts w:ascii="Arial" w:hAnsi="Arial"/>
          <w:b/>
          <w:color w:val="0F2942"/>
          <w:sz w:val="28"/>
        </w:rPr>
        <w:t>References &amp; Grounded Citations</w:t>
      </w:r>
    </w:p>
    <w:p>
      <w:pPr>
        <w:spacing w:before="40" w:after="80"/>
        <w:ind w:left="432"/>
      </w:pPr>
      <w:r>
        <w:rPr>
          <w:b/>
          <w:color w:val="0284C7"/>
        </w:rPr>
        <w:t xml:space="preserve">[1]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1. INTRODUCTION; PDF Pages 2–3. </w:t>
      </w:r>
      <w:hyperlink r:id="rId11">
        <w:r>
          <w:rPr>
            <w:color w:val="0284C7"/>
            <w:u w:val="single"/>
          </w:rPr>
          <w:t>Open source PDF</w:t>
        </w:r>
      </w:hyperlink>
    </w:p>
    <w:p>
      <w:pPr>
        <w:spacing w:before="40" w:after="80"/>
        <w:ind w:left="432"/>
      </w:pPr>
      <w:r>
        <w:rPr>
          <w:b/>
          <w:color w:val="0284C7"/>
        </w:rPr>
        <w:t xml:space="preserve">[2]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1. INTRODUCTION; PDF Page 3. </w:t>
      </w:r>
      <w:hyperlink r:id="rId12">
        <w:r>
          <w:rPr>
            <w:color w:val="0284C7"/>
            <w:u w:val="single"/>
          </w:rPr>
          <w:t>Open source PDF</w:t>
        </w:r>
      </w:hyperlink>
    </w:p>
    <w:p>
      <w:pPr>
        <w:spacing w:before="40" w:after="80"/>
        <w:ind w:left="432"/>
      </w:pPr>
      <w:r>
        <w:rPr>
          <w:b/>
          <w:color w:val="0284C7"/>
        </w:rPr>
        <w:t xml:space="preserve">[3]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6. RESULTS AND DISCUSSION; PDF Page 7. </w:t>
      </w:r>
      <w:hyperlink r:id="rId13">
        <w:r>
          <w:rPr>
            <w:color w:val="0284C7"/>
            <w:u w:val="single"/>
          </w:rPr>
          <w:t>Open source PDF</w:t>
        </w:r>
      </w:hyperlink>
    </w:p>
    <w:p>
      <w:pPr>
        <w:spacing w:before="40" w:after="80"/>
        <w:ind w:left="432"/>
      </w:pPr>
      <w:r>
        <w:rPr>
          <w:b/>
          <w:color w:val="0284C7"/>
        </w:rPr>
        <w:t xml:space="preserve">[4]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7. CONCLUSION; PDF Page 8. </w:t>
      </w:r>
      <w:hyperlink r:id="rId14">
        <w:r>
          <w:rPr>
            <w:color w:val="0284C7"/>
            <w:u w:val="single"/>
          </w:rPr>
          <w:t>Open source PDF</w:t>
        </w:r>
      </w:hyperlink>
    </w:p>
    <w:p>
      <w:pPr>
        <w:spacing w:before="40" w:after="80"/>
        <w:ind w:left="432"/>
      </w:pPr>
      <w:r>
        <w:rPr>
          <w:b/>
          <w:color w:val="0284C7"/>
        </w:rPr>
        <w:t xml:space="preserve">[5]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14. </w:t>
      </w:r>
      <w:hyperlink r:id="rId15">
        <w:r>
          <w:rPr>
            <w:color w:val="0284C7"/>
            <w:u w:val="single"/>
          </w:rPr>
          <w:t>Open source PDF</w:t>
        </w:r>
      </w:hyperlink>
    </w:p>
    <w:p>
      <w:pPr>
        <w:spacing w:before="40" w:after="80"/>
        <w:ind w:left="432"/>
      </w:pPr>
      <w:r>
        <w:rPr>
          <w:b/>
          <w:color w:val="0284C7"/>
        </w:rPr>
        <w:t xml:space="preserve">[6]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16. </w:t>
      </w:r>
      <w:hyperlink r:id="rId16">
        <w:r>
          <w:rPr>
            <w:color w:val="0284C7"/>
            <w:u w:val="single"/>
          </w:rPr>
          <w:t>Open source PDF</w:t>
        </w:r>
      </w:hyperlink>
    </w:p>
    <w:p>
      <w:pPr>
        <w:spacing w:before="40" w:after="80"/>
        <w:ind w:left="432"/>
      </w:pPr>
      <w:r>
        <w:rPr>
          <w:b/>
          <w:color w:val="0284C7"/>
        </w:rPr>
        <w:t xml:space="preserve">[7]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17. </w:t>
      </w:r>
      <w:hyperlink r:id="rId17">
        <w:r>
          <w:rPr>
            <w:color w:val="0284C7"/>
            <w:u w:val="single"/>
          </w:rPr>
          <w:t>Open source PDF</w:t>
        </w:r>
      </w:hyperlink>
    </w:p>
    <w:p>
      <w:pPr>
        <w:spacing w:before="40" w:after="80"/>
        <w:ind w:left="432"/>
      </w:pPr>
      <w:r>
        <w:rPr>
          <w:b/>
          <w:color w:val="0284C7"/>
        </w:rPr>
        <w:t xml:space="preserve">[8]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 7. </w:t>
      </w:r>
      <w:hyperlink r:id="rId18">
        <w:r>
          <w:rPr>
            <w:color w:val="0284C7"/>
            <w:u w:val="single"/>
          </w:rPr>
          <w:t>Open source PDF</w:t>
        </w:r>
      </w:hyperlink>
    </w:p>
    <w:p>
      <w:pPr>
        <w:spacing w:before="40" w:after="80"/>
        <w:ind w:left="432"/>
      </w:pPr>
      <w:r>
        <w:rPr>
          <w:b/>
          <w:color w:val="0284C7"/>
        </w:rPr>
        <w:t xml:space="preserve">[9]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Pages 7–8. </w:t>
      </w:r>
      <w:hyperlink r:id="rId18">
        <w:r>
          <w:rPr>
            <w:color w:val="0284C7"/>
            <w:u w:val="single"/>
          </w:rPr>
          <w:t>Open source PDF</w:t>
        </w:r>
      </w:hyperlink>
    </w:p>
    <w:p>
      <w:pPr>
        <w:spacing w:before="40" w:after="80"/>
        <w:ind w:left="432"/>
      </w:pPr>
      <w:r>
        <w:rPr>
          <w:b/>
          <w:color w:val="0284C7"/>
        </w:rPr>
        <w:t xml:space="preserve">[10]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 10. </w:t>
      </w:r>
      <w:hyperlink r:id="rId19">
        <w:r>
          <w:rPr>
            <w:color w:val="0284C7"/>
            <w:u w:val="single"/>
          </w:rPr>
          <w:t>Open source PDF</w:t>
        </w:r>
      </w:hyperlink>
    </w:p>
    <w:p>
      <w:pPr>
        <w:spacing w:before="40" w:after="80"/>
        <w:ind w:left="432"/>
      </w:pPr>
      <w:r>
        <w:rPr>
          <w:b/>
          <w:color w:val="0284C7"/>
        </w:rPr>
        <w:t xml:space="preserve">[11] </w:t>
      </w:r>
      <w:r>
        <w:rPr>
          <w:b/>
          <w:color w:val="1E293B"/>
        </w:rPr>
        <w:t xml:space="preserve">"2-Selmer Groups over Multiquadratic Extensions". </w:t>
      </w:r>
      <w:r>
        <w:rPr>
          <w:color w:val="1E293B"/>
        </w:rPr>
        <w:t xml:space="preserve">Alexander Smith. </w:t>
      </w:r>
      <w:r>
        <w:rPr>
          <w:i/>
          <w:color w:val="64748B"/>
        </w:rPr>
        <w:t xml:space="preserve">2024. Section: 1. Introduction; PDF Pages 1–2. </w:t>
      </w:r>
      <w:hyperlink r:id="rId20">
        <w:r>
          <w:rPr>
            <w:color w:val="0284C7"/>
            <w:u w:val="single"/>
          </w:rPr>
          <w:t>Open source PDF</w:t>
        </w:r>
      </w:hyperlink>
    </w:p>
    <w:p>
      <w:pPr>
        <w:spacing w:before="40" w:after="80"/>
        <w:ind w:left="432"/>
      </w:pPr>
      <w:r>
        <w:rPr>
          <w:b/>
          <w:color w:val="0284C7"/>
        </w:rPr>
        <w:t xml:space="preserve">[12] </w:t>
      </w:r>
      <w:r>
        <w:rPr>
          <w:b/>
          <w:color w:val="1E293B"/>
        </w:rPr>
        <w:t xml:space="preserve">"2-Selmer Groups over Multiquadratic Extensions". </w:t>
      </w:r>
      <w:r>
        <w:rPr>
          <w:color w:val="1E293B"/>
        </w:rPr>
        <w:t xml:space="preserve">Alexander Smith. </w:t>
      </w:r>
      <w:r>
        <w:rPr>
          <w:i/>
          <w:color w:val="64748B"/>
        </w:rPr>
        <w:t xml:space="preserve">2024. Section: References; PDF Page 31. </w:t>
      </w:r>
      <w:hyperlink r:id="rId21">
        <w:r>
          <w:rPr>
            <w:color w:val="0284C7"/>
            <w:u w:val="single"/>
          </w:rPr>
          <w:t>Open source PDF</w:t>
        </w:r>
      </w:hyperlink>
    </w:p>
    <w:p>
      <w:pPr>
        <w:spacing w:before="40" w:after="80"/>
        <w:ind w:left="432"/>
      </w:pPr>
      <w:r>
        <w:rPr>
          <w:b/>
          <w:color w:val="0284C7"/>
        </w:rPr>
        <w:t xml:space="preserve">[13] </w:t>
      </w:r>
      <w:r>
        <w:rPr>
          <w:b/>
          <w:color w:val="1E293B"/>
        </w:rPr>
        <w:t xml:space="preserve">"2-Selmer Groups over Multiquadratic Extensions". </w:t>
      </w:r>
      <w:r>
        <w:rPr>
          <w:color w:val="1E293B"/>
        </w:rPr>
        <w:t xml:space="preserve">Alexander Smith. </w:t>
      </w:r>
      <w:r>
        <w:rPr>
          <w:i/>
          <w:color w:val="64748B"/>
        </w:rPr>
        <w:t xml:space="preserve">2024. Section: References; PDF Page 31. </w:t>
      </w:r>
      <w:hyperlink r:id="rId21">
        <w:r>
          <w:rPr>
            <w:color w:val="0284C7"/>
            <w:u w:val="single"/>
          </w:rPr>
          <w:t>Open source PDF</w:t>
        </w:r>
      </w:hyperlink>
    </w:p>
    <w:p>
      <w:pPr>
        <w:spacing w:before="40" w:after="80"/>
        <w:ind w:left="432"/>
      </w:pPr>
      <w:r>
        <w:rPr>
          <w:b/>
          <w:color w:val="0284C7"/>
        </w:rPr>
        <w:t xml:space="preserve">[14] </w:t>
      </w:r>
      <w:r>
        <w:rPr>
          <w:b/>
          <w:color w:val="1E293B"/>
        </w:rPr>
        <w:t xml:space="preserve">"2-Selmer Groups over Multiquadratic Extensions". </w:t>
      </w:r>
      <w:r>
        <w:rPr>
          <w:color w:val="1E293B"/>
        </w:rPr>
        <w:t xml:space="preserve">Alexander Smith. </w:t>
      </w:r>
      <w:r>
        <w:rPr>
          <w:i/>
          <w:color w:val="64748B"/>
        </w:rPr>
        <w:t xml:space="preserve">2024. Section: Abstract. Let K/Q be a multiquadratic extension. We investigate the av-; PDF Page 1. </w:t>
      </w:r>
      <w:hyperlink r:id="rId20">
        <w:r>
          <w:rPr>
            <w:color w:val="0284C7"/>
            <w:u w:val="single"/>
          </w:rPr>
          <w:t>Open source PDF</w:t>
        </w:r>
      </w:hyperlink>
    </w:p>
    <w:p>
      <w:pPr>
        <w:spacing w:before="40" w:after="80"/>
        <w:ind w:left="432"/>
      </w:pPr>
      <w:r>
        <w:rPr>
          <w:b/>
          <w:color w:val="0284C7"/>
        </w:rPr>
        <w:t xml:space="preserve">[15] </w:t>
      </w:r>
      <w:r>
        <w:rPr>
          <w:b/>
          <w:color w:val="1E293B"/>
        </w:rPr>
        <w:t xml:space="preserve">"2-Selmer Groups over Multiquadratic Extensions". </w:t>
      </w:r>
      <w:r>
        <w:rPr>
          <w:color w:val="1E293B"/>
        </w:rPr>
        <w:t xml:space="preserve">Alexander Smith. </w:t>
      </w:r>
      <w:r>
        <w:rPr>
          <w:i/>
          <w:color w:val="64748B"/>
        </w:rPr>
        <w:t xml:space="preserve">2024. Section: 1. Introduction; PDF Page 4. </w:t>
      </w:r>
      <w:hyperlink r:id="rId22">
        <w:r>
          <w:rPr>
            <w:color w:val="0284C7"/>
            <w:u w:val="single"/>
          </w:rPr>
          <w:t>Open source PDF</w:t>
        </w:r>
      </w:hyperlink>
    </w:p>
    <w:p>
      <w:pPr>
        <w:spacing w:before="40" w:after="80"/>
        <w:ind w:left="432"/>
      </w:pPr>
      <w:r>
        <w:rPr>
          <w:b/>
          <w:color w:val="0284C7"/>
        </w:rPr>
        <w:t xml:space="preserve">[16]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 9. </w:t>
      </w:r>
      <w:hyperlink r:id="rId23">
        <w:r>
          <w:rPr>
            <w:color w:val="0284C7"/>
            <w:u w:val="single"/>
          </w:rPr>
          <w:t>Open source PDF</w:t>
        </w:r>
      </w:hyperlink>
    </w:p>
    <w:p>
      <w:pPr>
        <w:spacing w:before="40" w:after="80"/>
        <w:ind w:left="432"/>
      </w:pPr>
      <w:r>
        <w:rPr>
          <w:b/>
          <w:color w:val="0284C7"/>
        </w:rPr>
        <w:t xml:space="preserve">[17]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Pages 11–12. </w:t>
      </w:r>
      <w:hyperlink r:id="rId24">
        <w:r>
          <w:rPr>
            <w:color w:val="0284C7"/>
            <w:u w:val="single"/>
          </w:rPr>
          <w:t>Open source PDF</w:t>
        </w:r>
      </w:hyperlink>
    </w:p>
    <w:p>
      <w:pPr>
        <w:spacing w:before="40" w:after="80"/>
        <w:ind w:left="432"/>
      </w:pPr>
      <w:r>
        <w:rPr>
          <w:b/>
          <w:color w:val="0284C7"/>
        </w:rPr>
        <w:t xml:space="preserve">[18]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 2. </w:t>
      </w:r>
      <w:hyperlink r:id="rId25">
        <w:r>
          <w:rPr>
            <w:color w:val="0284C7"/>
            <w:u w:val="single"/>
          </w:rPr>
          <w:t>Open source PDF</w:t>
        </w:r>
      </w:hyperlink>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748B"/>
        <w:sz w:val="17"/>
      </w:rPr>
      <w:t>Generated: October 26, 2026 | Evidence-Grounded Research Synthesis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SupervisorX Scientific Report • SupervisorX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2608.19200v1.pdf#page=2" TargetMode="External"/><Relationship Id="rId12" Type="http://schemas.openxmlformats.org/officeDocument/2006/relationships/hyperlink" Target="https://arxiv.org/pdf/2608.19200v1.pdf#page=3" TargetMode="External"/><Relationship Id="rId13" Type="http://schemas.openxmlformats.org/officeDocument/2006/relationships/hyperlink" Target="https://arxiv.org/pdf/2608.19200v1.pdf#page=7" TargetMode="External"/><Relationship Id="rId14" Type="http://schemas.openxmlformats.org/officeDocument/2006/relationships/hyperlink" Target="https://arxiv.org/pdf/2608.19200v1.pdf#page=8" TargetMode="External"/><Relationship Id="rId15" Type="http://schemas.openxmlformats.org/officeDocument/2006/relationships/hyperlink" Target="https://arxiv.org/pdf/2306.14753v1.pdf#page=14" TargetMode="External"/><Relationship Id="rId16" Type="http://schemas.openxmlformats.org/officeDocument/2006/relationships/hyperlink" Target="https://arxiv.org/pdf/2306.14753v1.pdf#page=16" TargetMode="External"/><Relationship Id="rId17" Type="http://schemas.openxmlformats.org/officeDocument/2006/relationships/hyperlink" Target="https://arxiv.org/pdf/2306.14753v1.pdf#page=17" TargetMode="External"/><Relationship Id="rId18" Type="http://schemas.openxmlformats.org/officeDocument/2006/relationships/hyperlink" Target="https://arxiv.org/pdf/2407.00648v1.pdf#page=7" TargetMode="External"/><Relationship Id="rId19" Type="http://schemas.openxmlformats.org/officeDocument/2006/relationships/hyperlink" Target="https://arxiv.org/pdf/2407.00648v1.pdf#page=10" TargetMode="External"/><Relationship Id="rId20" Type="http://schemas.openxmlformats.org/officeDocument/2006/relationships/hyperlink" Target="https://arxiv.org/pdf/2401.08828.pdf#page=1" TargetMode="External"/><Relationship Id="rId21" Type="http://schemas.openxmlformats.org/officeDocument/2006/relationships/hyperlink" Target="https://arxiv.org/pdf/2401.08828.pdf#page=31" TargetMode="External"/><Relationship Id="rId22" Type="http://schemas.openxmlformats.org/officeDocument/2006/relationships/hyperlink" Target="https://arxiv.org/pdf/2401.08828.pdf#page=4" TargetMode="External"/><Relationship Id="rId23" Type="http://schemas.openxmlformats.org/officeDocument/2006/relationships/hyperlink" Target="https://arxiv.org/pdf/2601.15305v1.pdf#page=9" TargetMode="External"/><Relationship Id="rId24" Type="http://schemas.openxmlformats.org/officeDocument/2006/relationships/hyperlink" Target="https://arxiv.org/pdf/2601.15305v1.pdf#page=11" TargetMode="External"/><Relationship Id="rId25" Type="http://schemas.openxmlformats.org/officeDocument/2006/relationships/hyperlink" Target="https://arxiv.org/pdf/2601.15305v1.pdf#pag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