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0F2942"/>
          <w:sz w:val="44"/>
        </w:rPr>
        <w:t>Comprehensive Analysis of Spectral Gating</w:t>
      </w:r>
    </w:p>
    <w:p>
      <w:pPr>
        <w:spacing w:before="0" w:after="320"/>
      </w:pPr>
      <w:r>
        <w:rPr>
          <w:b/>
          <w:color w:val="0284C7"/>
          <w:sz w:val="19"/>
        </w:rPr>
        <w:t xml:space="preserve">PAPER SUMMARY   |   </w:t>
      </w:r>
      <w:r>
        <w:rPr>
          <w:color w:val="64748B"/>
          <w:sz w:val="19"/>
        </w:rPr>
        <w:t>Date: October 26, 2026</w:t>
      </w:r>
    </w:p>
    <w:p>
      <w:pPr>
        <w:spacing w:before="0" w:after="280"/>
      </w:pPr>
      <w:r>
        <w:rPr>
          <w:color w:val="64748B"/>
          <w:sz w:val="18"/>
        </w:rPr>
        <w:t>――――――――――――――――――――――――――――――――――――――――――――――――――――</w:t>
      </w:r>
    </w:p>
    <w:p>
      <w:pPr>
        <w:spacing w:before="200" w:after="80"/>
      </w:pPr>
      <w:r>
        <w:rPr>
          <w:rFonts w:ascii="Arial" w:hAnsi="Arial"/>
          <w:b/>
          <w:color w:val="0284C7"/>
          <w:sz w:val="24"/>
        </w:rPr>
        <w:t>1. Executive Summary</w:t>
      </w:r>
    </w:p>
    <w:p>
      <w:pPr>
        <w:spacing w:before="40" w:after="120" w:line="276" w:lineRule="auto"/>
      </w:pPr>
      <w:r>
        <w:t>This report analyzes dynamic gating in sparse transformer architectures.</w:t>
      </w:r>
    </w:p>
    <w:p>
      <w:pPr>
        <w:spacing w:before="200" w:after="80"/>
      </w:pPr>
      <w:r>
        <w:rPr>
          <w:rFonts w:ascii="Arial" w:hAnsi="Arial"/>
          <w:b/>
          <w:color w:val="0284C7"/>
          <w:sz w:val="24"/>
        </w:rPr>
        <w:t>2. Mathematical Formalism</w:t>
      </w:r>
    </w:p>
    <w:p>
      <w:pPr>
        <w:spacing w:before="40" w:after="120" w:line="276" w:lineRule="auto"/>
      </w:pPr>
      <w:r>
        <w:t>The asymptotic error bound for the multi-head self-attention approximation is given by: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80" w:after="80"/>
              <w:jc w:val="center"/>
            </w:pPr>
            <w:r>
              <w:rPr>
                <w:rFonts w:ascii="Cambria Math" w:hAnsi="Cambria Math"/>
                <w:b/>
                <w:color w:val="0F2942"/>
                <w:sz w:val="22"/>
              </w:rPr>
              <w:t>O((2^(23 / 24) ω(Δ_K) / ω(Δ_K)!))</w:t>
            </w:r>
          </w:p>
        </w:tc>
      </w:tr>
    </w:tbl>
    <w:p>
      <w:pPr>
        <w:spacing w:after="80"/>
      </w:pPr>
    </w:p>
    <w:p>
      <w:pPr>
        <w:spacing w:before="40" w:after="120" w:line="276" w:lineRule="auto"/>
      </w:pPr>
      <w:r>
        <w:t xml:space="preserve">In inline prose, the error term </w:t>
      </w:r>
      <w:r>
        <w:rPr>
          <w:rFonts w:ascii="Cambria Math" w:hAnsi="Cambria Math"/>
          <w:i/>
          <w:color w:val="0F2942"/>
        </w:rPr>
        <w:t xml:space="preserve"> O((2^(23 / 24) ω(Δ_K) / ω(Δ_K)!)) </w:t>
      </w:r>
      <w:r>
        <w:t xml:space="preserve"> remains bounded under regularized conditions </w:t>
      </w:r>
      <w:r>
        <w:rPr>
          <w:b/>
          <w:color w:val="0284C7"/>
          <w:sz w:val="19"/>
        </w:rPr>
        <w:t xml:space="preserve"> [1]</w:t>
      </w:r>
      <w:r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F294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Architecture</w:t>
            </w:r>
          </w:p>
        </w:tc>
        <w:tc>
          <w:tcPr>
            <w:tcW w:type="dxa" w:w="2340"/>
            <w:shd w:fill="0F294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Sparsity</w:t>
            </w:r>
          </w:p>
        </w:tc>
        <w:tc>
          <w:tcPr>
            <w:tcW w:type="dxa" w:w="2340"/>
            <w:shd w:fill="0F294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Error Bound</w:t>
            </w:r>
          </w:p>
        </w:tc>
        <w:tc>
          <w:tcPr>
            <w:tcW w:type="dxa" w:w="2340"/>
            <w:shd w:fill="0F294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Speedup</w:t>
            </w:r>
          </w:p>
        </w:tc>
      </w:tr>
      <w:tr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Standard Softmax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0%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0.00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1.0x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Dynamic GSA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68%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&lt;0.02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2.4x</w:t>
            </w:r>
          </w:p>
        </w:tc>
      </w:tr>
      <w:tr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Block-Sparse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50%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0.05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1.8x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Arial" w:hAnsi="Arial"/>
          <w:b/>
          <w:color w:val="1E293B"/>
          <w:sz w:val="22"/>
        </w:rPr>
        <w:t>Key Observations</w:t>
      </w:r>
    </w:p>
    <w:p>
      <w:pPr>
        <w:pStyle w:val="ListBullet"/>
        <w:spacing w:before="20" w:after="60" w:line="276" w:lineRule="auto"/>
      </w:pPr>
      <w:r>
        <w:t>Linearized attention preserves representation capacity.</w:t>
      </w:r>
    </w:p>
    <w:p>
      <w:pPr>
        <w:pStyle w:val="ListBullet"/>
        <w:spacing w:before="20" w:after="60" w:line="276" w:lineRule="auto"/>
      </w:pPr>
      <w:r>
        <w:t>Peak GPU memory is reduced by 42%.</w:t>
      </w:r>
    </w:p>
    <w:p>
      <w:pPr>
        <w:spacing w:before="80" w:after="120"/>
        <w:ind w:left="576"/>
      </w:pPr>
      <w:r>
        <w:rPr>
          <w:i/>
          <w:color w:val="64748B"/>
        </w:rPr>
        <w:t>“**Note:** The error bound holds strictly when rank constraints are satisfied.”</w:t>
      </w:r>
    </w:p>
    <w:p>
      <w:pPr>
        <w:spacing w:before="360" w:after="120"/>
      </w:pPr>
      <w:r>
        <w:rPr>
          <w:rFonts w:ascii="Arial" w:hAnsi="Arial"/>
          <w:b/>
          <w:color w:val="0F2942"/>
          <w:sz w:val="28"/>
        </w:rPr>
        <w:t>References &amp; Grounded Citations</w:t>
      </w:r>
    </w:p>
    <w:p>
      <w:pPr>
        <w:spacing w:before="40" w:after="80"/>
        <w:ind w:left="432"/>
      </w:pPr>
      <w:r>
        <w:rPr>
          <w:b/>
          <w:color w:val="0284C7"/>
        </w:rPr>
        <w:t xml:space="preserve">[1] </w:t>
      </w:r>
      <w:r>
        <w:rPr>
          <w:b/>
          <w:color w:val="1E293B"/>
        </w:rPr>
        <w:t xml:space="preserve">"Empirical Study of LayerNorm Entropy Trajectories". </w:t>
      </w:r>
      <w:r>
        <w:rPr>
          <w:color w:val="1E293B"/>
        </w:rPr>
        <w:t xml:space="preserve">Dupont &amp; Klein (2023). </w:t>
      </w:r>
      <w:r>
        <w:rPr>
          <w:i/>
          <w:color w:val="64748B"/>
        </w:rPr>
        <w:t>(PDF Page 7)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color w:val="64748B"/>
        <w:sz w:val="17"/>
      </w:rPr>
      <w:t>Generated: October 26, 2026 | Evidence-Grounded Research Synthesis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7"/>
      </w:rPr>
      <w:t>SupervisorX Scientific Report • SupervisorX Project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