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rFonts w:ascii="Calibri" w:hAnsi="Calibri"/>
          <w:b/>
          <w:i w:val="0"/>
          <w:color w:val="FF6B00"/>
          <w:sz w:val="56"/>
        </w:rPr>
        <w:t>◈  CRUCIX REDLINE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444444"/>
          <w:sz w:val="24"/>
        </w:rPr>
        <w:t>SYSTEM ARCHITECTURE &amp; PERFORMANCE FEEDBACK LOOP</w:t>
      </w:r>
    </w:p>
    <w:p>
      <w:pPr>
        <w:spacing w:after="800"/>
        <w:jc w:val="center"/>
      </w:pPr>
      <w:r>
        <w:rPr>
          <w:rFonts w:ascii="Calibri" w:hAnsi="Calibri"/>
          <w:b w:val="0"/>
          <w:i/>
          <w:color w:val="AAAAAA"/>
          <w:sz w:val="20"/>
        </w:rPr>
        <w:t>Technical Overview  ·  April 2026</w:t>
      </w:r>
    </w:p>
    <w:p>
      <w:pPr>
        <w:spacing w:after="480"/>
        <w:pBdr>
          <w:bottom w:val="single" w:sz="6" w:space="1" w:color="FF6B00"/>
        </w:pBdr>
      </w:pPr>
    </w:p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1. WHAT REDLINE IS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RedLine is a multi-agent AI trading council built on top of the Crucix platform. Rather than a single model making decisions, it runs a structured debate between four specialized agents on every 10-minute market sweep. Each agent has a defined role, and no trade executes without passing through all four stages.</w:t>
      </w:r>
    </w:p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2. THE COUNCIL — FOUR AGENTS, ONE VERDICT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Scout  (Beta)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Model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Gemini Flash</w:t>
            </w:r>
          </w:p>
        </w:tc>
      </w:tr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Role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Scans news, congressional trades, RSI, and momentum. Selects the single highest-conviction setup per sweep. Classifies every idea with a trade horizon (INTRADAY / SWING / LONG). Now reads last review context to self-calibrate signal scoring.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Phi  (Bull)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Model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GPT-4o / GPT-OSS-120B</w:t>
            </w:r>
          </w:p>
        </w:tc>
      </w:tr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Role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Builds the bullish case for Scout's pick. Argues why the trade is worth executing — catalysts, technicals, congressional signal, risk/reward.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Theta  (Bear)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Model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Qwen3-32B</w:t>
            </w:r>
          </w:p>
        </w:tc>
      </w:tr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Role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Prosecutes the trade. Identifies macro risks, PDT conflicts, sector crowding, and overextension. Forces Gregor to weigh the other side.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Gregor  (Omega)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Model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Grok (via Puter)</w:t>
            </w:r>
          </w:p>
        </w:tc>
      </w:tr>
      <w:tr>
        <w:tc>
          <w:tcPr>
            <w:tcW w:type="dxa" w:w="2160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Role</w:t>
            </w:r>
          </w:p>
        </w:tc>
        <w:tc>
          <w:tcPr>
            <w:tcW w:type="dxa" w:w="7200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Master Macro Decider. Synthesizes Phi and Theta's debate into a final executable order. Outputs structured JSON: symbol, action, order type, price, units, time in force. Now reads last review to apply performance-based sizing modifiers.</w:t>
            </w:r>
          </w:p>
        </w:tc>
      </w:tr>
    </w:tbl>
    <w:p/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3. TRADE HORIZON CLASSIFICATION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Every escalation Scout raises is classified into one of three horizons. This determines how Gregor sizes and times the order, and how long the decision is tracked before being evaluated.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HORIZON</w:t>
            </w:r>
          </w:p>
        </w:tc>
        <w:tc>
          <w:tcPr>
            <w:tcW w:type="dxa" w:w="2160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HOLD PERIOD</w:t>
            </w:r>
          </w:p>
        </w:tc>
        <w:tc>
          <w:tcPr>
            <w:tcW w:type="dxa" w:w="2160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EVAL DEADLINE</w:t>
            </w:r>
          </w:p>
        </w:tc>
        <w:tc>
          <w:tcPr>
            <w:tcW w:type="dxa" w:w="3600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PRIMARY TRIGGER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INTRADAY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Same day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1 day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RSI extreme, gap, momentum spike. PDT day trade consumed.</w:t>
            </w:r>
          </w:p>
        </w:tc>
      </w:tr>
      <w:tr>
        <w:tc>
          <w:tcPr>
            <w:tcW w:type="dxa" w:w="1728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SWING</w:t>
            </w:r>
          </w:p>
        </w:tc>
        <w:tc>
          <w:tcPr>
            <w:tcW w:type="dxa" w:w="2160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2–10 days</w:t>
            </w:r>
          </w:p>
        </w:tc>
        <w:tc>
          <w:tcPr>
            <w:tcW w:type="dxa" w:w="2160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10 days</w:t>
            </w:r>
          </w:p>
        </w:tc>
        <w:tc>
          <w:tcPr>
            <w:tcW w:type="dxa" w:w="3600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News catalyst + technicals. Overnight hold — bypasses PDT.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LONG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Weeks–months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30 days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Congressional cluster, policy shift, structural re-rating.</w:t>
            </w:r>
          </w:p>
        </w:tc>
      </w:tr>
    </w:tbl>
    <w:p/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4. THE SELF-LEARNING FEEDBACK LOOP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This is the core innovation of the current build. The system does not just trade — it tracks every verdict, resolves outcomes against the real portfolio, and feeds that performance history back into the agents on the next sweep. Over time, the council self-calibrates without retraining any model.</w:t>
      </w:r>
    </w:p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Phase 1 — Decision Logger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File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decisionLogger.mjs</w:t>
            </w:r>
          </w:p>
        </w:tc>
      </w:tr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Description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Every Gregor verdict is appended to runs/decisions.json with the full signal context: ticker, action, horizon, signal score, congressional signal type, live VIX, entry price, and evaluationDue deadline. This is the raw data record.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Phase 2 — Position Resolver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File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positionResolver.mjs</w:t>
            </w:r>
          </w:p>
        </w:tc>
      </w:tr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Description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Runs daily at 4:30 PM ET. Compares every open decision against the live SnapTrade portfolio. If the position is gone, it fetches the exit price and marks win/loss/breakeven. If still held, it patches in current unrealized P&amp;L. Overdue positions (past evaluationDue) are force-resolved at the current market price.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Phase 3 — Review Council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File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reviewCouncil.mjs</w:t>
            </w:r>
          </w:p>
        </w:tc>
      </w:tr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Description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After the resolver runs, the Review Council computes structured performance stats: win rate, profit factor, average win/loss %, breakdown by horizon, breakdown by signal type (congressional cluster vs none, high VIX, high signal score). Writes runs/lastReview.json — the machine-readable council context. Also triggers generation of the HTML + Word report for the dashboard with deduplication (only regenerates if new resolved decisions exist).</w:t>
            </w:r>
          </w:p>
        </w:tc>
      </w:tr>
    </w:tbl>
    <w:p/>
    <w:p>
      <w:pPr>
        <w:spacing w:before="160" w:after="40"/>
      </w:pPr>
      <w:r>
        <w:rPr>
          <w:rFonts w:ascii="Calibri" w:hAnsi="Calibri"/>
          <w:b/>
          <w:i w:val="0"/>
          <w:color w:val="1A1A1A"/>
          <w:sz w:val="22"/>
        </w:rPr>
        <w:t>Phase 4 — Context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File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scout.mjs + omega.mjs</w:t>
            </w:r>
          </w:p>
        </w:tc>
      </w:tr>
      <w:tr>
        <w:tc>
          <w:tcPr>
            <w:tcW w:type="dxa" w:w="1728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Description</w:t>
            </w:r>
          </w:p>
        </w:tc>
        <w:tc>
          <w:tcPr>
            <w:tcW w:type="dxa" w:w="7632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On every subsequent sweep, Scout reads lastReview.json and receives a SECTION P block showing win rates by horizon with PREFERRED / CAUTION / NEUTRAL flags. It uses this to self-calibrate which horizon to recommend. Gregor receives a sizing modifier block: horizons performing at 65%+ win rate get +15% size; underperforming horizons get -30% size; confirmed congressional cluster at 70%+ win rate unlocks an additional +20% scaling.</w:t>
            </w:r>
          </w:p>
        </w:tc>
      </w:tr>
    </w:tbl>
    <w:p/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5. DATA FLOW — END TO END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Every 10-minute sweep follows this chain: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1.  </w:t>
      </w:r>
      <w:r>
        <w:rPr>
          <w:rFonts w:ascii="Calibri" w:hAnsi="Calibri"/>
          <w:b w:val="0"/>
          <w:i w:val="0"/>
          <w:color w:val="444444"/>
          <w:sz w:val="20"/>
        </w:rPr>
        <w:t>APIs ingest live data: news (Alpaca), VIX (FRED), congressional trades (FMP — cached 4h, max ~12 calls/day), portfolio (SnapTrade).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2.  </w:t>
      </w:r>
      <w:r>
        <w:rPr>
          <w:rFonts w:ascii="Calibri" w:hAnsi="Calibri"/>
          <w:b w:val="0"/>
          <w:i w:val="0"/>
          <w:color w:val="444444"/>
          <w:sz w:val="20"/>
        </w:rPr>
        <w:t>Scout selects one setup, classifies horizon, enriches with live price + RSI, outputs a structured escalation or QUIET.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3.  </w:t>
      </w:r>
      <w:r>
        <w:rPr>
          <w:rFonts w:ascii="Calibri" w:hAnsi="Calibri"/>
          <w:b w:val="0"/>
          <w:i w:val="0"/>
          <w:color w:val="444444"/>
          <w:sz w:val="20"/>
        </w:rPr>
        <w:t>Phi argues the bull case. Theta argues the bear case. Both read Scout's output.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4.  </w:t>
      </w:r>
      <w:r>
        <w:rPr>
          <w:rFonts w:ascii="Calibri" w:hAnsi="Calibri"/>
          <w:b w:val="0"/>
          <w:i w:val="0"/>
          <w:color w:val="444444"/>
          <w:sz w:val="20"/>
        </w:rPr>
        <w:t>Gregor synthesizes the debate, reads account state (buying power, PDT remaining, open orders), applies lastReview sizing modifiers, and outputs a JSON verdict.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5.  </w:t>
      </w:r>
      <w:r>
        <w:rPr>
          <w:rFonts w:ascii="Calibri" w:hAnsi="Calibri"/>
          <w:b w:val="0"/>
          <w:i w:val="0"/>
          <w:color w:val="444444"/>
          <w:sz w:val="20"/>
        </w:rPr>
        <w:t>debate.mjs parses the JSON, submits the order to SnapTrade, and logs the decision to decisions.json.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6.  </w:t>
      </w:r>
      <w:r>
        <w:rPr>
          <w:rFonts w:ascii="Calibri" w:hAnsi="Calibri"/>
          <w:b w:val="0"/>
          <w:i w:val="0"/>
          <w:color w:val="444444"/>
          <w:sz w:val="20"/>
        </w:rPr>
        <w:t>At 4:30 PM ET: positionResolver reconciles open decisions. reviewCouncil computes stats, writes lastReview.json and the dashboard report.</w:t>
      </w:r>
    </w:p>
    <w:p>
      <w:pPr>
        <w:spacing w:before="40" w:after="40"/>
      </w:pPr>
      <w:r>
        <w:rPr>
          <w:rFonts w:ascii="Calibri" w:hAnsi="Calibri"/>
          <w:b/>
          <w:i w:val="0"/>
          <w:color w:val="FF6B00"/>
          <w:sz w:val="20"/>
        </w:rPr>
        <w:t xml:space="preserve">  7.  </w:t>
      </w:r>
      <w:r>
        <w:rPr>
          <w:rFonts w:ascii="Calibri" w:hAnsi="Calibri"/>
          <w:b w:val="0"/>
          <w:i w:val="0"/>
          <w:color w:val="444444"/>
          <w:sz w:val="20"/>
        </w:rPr>
        <w:t>Next sweep: Scout and Gregor read the updated lastReview.json. The loop closes.</w:t>
      </w:r>
    </w:p>
    <w:p/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6. WIN / LOSS CLASSIFICATION — HOW A TRADE IS SCORED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When a position closes, the system computes P&amp;L and assigns an outcome label. This outcome is what drives the win rate statistics in the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OUTCOME</w:t>
            </w:r>
          </w:p>
        </w:tc>
        <w:tc>
          <w:tcPr>
            <w:tcW w:type="dxa" w:w="2160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THRESHOLD</w:t>
            </w:r>
          </w:p>
        </w:tc>
        <w:tc>
          <w:tcPr>
            <w:tcW w:type="dxa" w:w="5040"/>
            <w:shd w:val="clear" w:color="auto" w:fill="1A1A1A"/>
            <w:tcBorders>
              <w:top w:val="single" w:sz="4" w:space="0" w:color="FF6B00"/>
              <w:left w:val="single" w:sz="4" w:space="0" w:color="FF6B00"/>
              <w:bottom w:val="single" w:sz="4" w:space="0" w:color="FF6B00"/>
              <w:right w:val="single" w:sz="4" w:space="0" w:color="FF6B00"/>
            </w:tcBorders>
          </w:tcPr>
          <w:p>
            <w:pPr>
              <w:ind w:left="80"/>
            </w:pPr>
            <w:r>
              <w:rPr>
                <w:rFonts w:ascii="Calibri" w:hAnsi="Calibri"/>
                <w:b/>
                <w:i w:val="0"/>
                <w:color w:val="FF6B00"/>
                <w:sz w:val="18"/>
              </w:rPr>
              <w:t>NOTES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00C896"/>
                <w:sz w:val="18"/>
              </w:rPr>
              <w:t>Win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P&amp;L &gt; +0.2%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Current threshold. Anything above +0.2% counts as a win.</w:t>
            </w:r>
          </w:p>
        </w:tc>
      </w:tr>
      <w:tr>
        <w:tc>
          <w:tcPr>
            <w:tcW w:type="dxa" w:w="2160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FF4444"/>
                <w:sz w:val="18"/>
              </w:rPr>
              <w:t>Loss</w:t>
            </w:r>
          </w:p>
        </w:tc>
        <w:tc>
          <w:tcPr>
            <w:tcW w:type="dxa" w:w="2160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P&amp;L &lt; -0.2%</w:t>
            </w:r>
          </w:p>
        </w:tc>
        <w:tc>
          <w:tcPr>
            <w:tcW w:type="dxa" w:w="5040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Anything below -0.2% counts as a loss.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Breakeven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-0.2% to +0.2%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8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Covers slippage and spread noise. Does not affect win rate.</w:t>
            </w:r>
          </w:p>
        </w:tc>
      </w:tr>
    </w:tbl>
    <w:p/>
    <w:p>
      <w:pPr>
        <w:spacing w:after="160"/>
        <w:ind w:left="432"/>
      </w:pPr>
      <w:r>
        <w:rPr>
          <w:rFonts w:ascii="Calibri" w:hAnsi="Calibri"/>
          <w:b/>
          <w:i w:val="0"/>
          <w:color w:val="FF6B00"/>
          <w:sz w:val="20"/>
        </w:rPr>
        <w:t xml:space="preserve">⚠  Advisory: </w:t>
      </w:r>
      <w:r>
        <w:rPr>
          <w:rFonts w:ascii="Calibri" w:hAnsi="Calibri"/>
          <w:b w:val="0"/>
          <w:i w:val="0"/>
          <w:color w:val="444444"/>
          <w:sz w:val="20"/>
        </w:rPr>
        <w:t>The 0.2% threshold is intentionally tight — it captures any directionally correct move. In practice, INTRADAY wins at 0.3% might not cover commission + spread, so consider raising the win threshold to 0.5%–1.0% for INTRADAY and 1.5%–2.0% for SWING when evaluating real profitability. LONG positions with congressional cluster signals should be evaluated at a minimum 3%–5% threshold given the longer hold and higher conviction required to enter.</w:t>
      </w:r>
    </w:p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7. WHAT LASTREVIEW.JSON CONTAINS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This file is the memory of the council — generated once per day, read by Scout and Gregor on every subsequent sweep until the next review cycle updates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generatedAt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ISO timestamp of last review run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totalDecisions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All decisions ever logged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resolved / open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How many have closed vs still held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winRate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Overall win rate across all resolved decisions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avgWinPct / avgLossPct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Average magnitude of wins and losses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profitFactor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Total gain / total loss — the primary health metric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byHorizon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Win rate + avg P&amp;L broken down by INTRADAY / SWING / LONG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bySignal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Win rate by congressional cluster, signal score tier, and VIX level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topWinners / topLosers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Ticker lists — helps Scout apply anti-bias to repeat losers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gregorWaitRate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How often Gregor says WAIT — signals if council is too conservative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recommendations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Auto-generated directives the council acts on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narrativeSummary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Plain-language summary injected into Scout's SECTION P prompt block</w:t>
            </w:r>
          </w:p>
        </w:tc>
      </w:tr>
    </w:tbl>
    <w:p/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8. FMP API CALL OPTIMIZATION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The Financial Modeling Prep congressional trades API is limited to 250 calls/day on the free tier. With a 10-minute sweep cycle that would generate 144 calls/day per endpoint — well over the limit. The system solves this with an in-memory TTL cache.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Default cache TTL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4 hours (configurable via CONGRESS_CACHE_HOURS env var)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Calls with caching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~12/day (6 refreshes × 2 chamber endpoints)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Calls without caching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288/day — would exceed the 250 limit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Cache miss behavior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Fetches fresh data, caches result, increments daily call counter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Cache hit behavior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Returns cached result instantly, no API call consumed</w:t>
            </w:r>
          </w:p>
        </w:tc>
      </w:tr>
      <w:tr>
        <w:tc>
          <w:tcPr>
            <w:tcW w:type="dxa" w:w="331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Failure handling</w:t>
            </w:r>
          </w:p>
        </w:tc>
        <w:tc>
          <w:tcPr>
            <w:tcW w:type="dxa" w:w="604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Transient failures preserve last good cached data — no stale null</w:t>
            </w:r>
          </w:p>
        </w:tc>
      </w:tr>
    </w:tbl>
    <w:p/>
    <w:p>
      <w:pPr>
        <w:spacing w:before="360" w:after="80"/>
        <w:pBdr>
          <w:bottom w:val="single" w:sz="6" w:space="1" w:color="FF6B00"/>
        </w:pBdr>
      </w:pPr>
      <w:r>
        <w:rPr>
          <w:rFonts w:ascii="Calibri" w:hAnsi="Calibri"/>
          <w:b/>
          <w:i w:val="0"/>
          <w:color w:val="FF6B00"/>
          <w:sz w:val="32"/>
        </w:rPr>
        <w:t>9. DASHBOARD REPORT VIEWER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444444"/>
          <w:sz w:val="20"/>
        </w:rPr>
        <w:t>All reports (performance reviews, trade logs, documents) are served through a unified report viewer in the RedLine dashboard at /dashboard/public/redline.html.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Filter bar</w:t>
            </w:r>
          </w:p>
        </w:tc>
        <w:tc>
          <w:tcPr>
            <w:tcW w:type="dxa" w:w="676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ALL / REVIEWS / TRADES / DOCS — filters report list by type</w:t>
            </w:r>
          </w:p>
        </w:tc>
      </w:tr>
      <w:tr>
        <w:tc>
          <w:tcPr>
            <w:tcW w:type="dxa" w:w="259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Modal viewer</w:t>
            </w:r>
          </w:p>
        </w:tc>
        <w:tc>
          <w:tcPr>
            <w:tcW w:type="dxa" w:w="676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Click any report to open it inline — no page reload</w:t>
            </w:r>
          </w:p>
        </w:tc>
      </w:tr>
      <w:tr>
        <w:tc>
          <w:tcPr>
            <w:tcW w:type="dxa" w:w="259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Navigation</w:t>
            </w:r>
          </w:p>
        </w:tc>
        <w:tc>
          <w:tcPr>
            <w:tcW w:type="dxa" w:w="676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Arrow buttons or keyboard ← → to move between reports in the current filter</w:t>
            </w:r>
          </w:p>
        </w:tc>
      </w:tr>
      <w:tr>
        <w:tc>
          <w:tcPr>
            <w:tcW w:type="dxa" w:w="259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Delete button</w:t>
            </w:r>
          </w:p>
        </w:tc>
        <w:tc>
          <w:tcPr>
            <w:tcW w:type="dxa" w:w="676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Hover a report row to reveal the delete button — removes HTML + DOCX twin</w:t>
            </w:r>
          </w:p>
        </w:tc>
      </w:tr>
      <w:tr>
        <w:tc>
          <w:tcPr>
            <w:tcW w:type="dxa" w:w="259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Download</w:t>
            </w:r>
          </w:p>
        </w:tc>
        <w:tc>
          <w:tcPr>
            <w:tcW w:type="dxa" w:w="676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⬇ DOWNLOAD .DOCX button inside every review modal — triggers binary download</w:t>
            </w:r>
          </w:p>
        </w:tc>
      </w:tr>
      <w:tr>
        <w:tc>
          <w:tcPr>
            <w:tcW w:type="dxa" w:w="2592"/>
            <w:vAlign w:val="center"/>
            <w:shd w:val="clear" w:color="auto" w:fill="F5F5F5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Deduplication</w:t>
            </w:r>
          </w:p>
        </w:tc>
        <w:tc>
          <w:tcPr>
            <w:tcW w:type="dxa" w:w="6768"/>
            <w:vAlign w:val="center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ind w:left="120"/>
            </w:pPr>
            <w:r>
              <w:rPr>
                <w:rFonts w:ascii="Calibri" w:hAnsi="Calibri"/>
                <w:b w:val="0"/>
                <w:i w:val="0"/>
                <w:color w:val="444444"/>
                <w:sz w:val="18"/>
              </w:rPr>
              <w:t>Reviews only regenerate when new resolved decisions exist since the last run</w:t>
            </w:r>
          </w:p>
        </w:tc>
      </w:tr>
    </w:tbl>
    <w:p/>
    <w:p/>
    <w:p/>
    <w:p>
      <w:pPr>
        <w:pBdr>
          <w:bottom w:val="single" w:sz="6" w:space="1" w:color="FF6B00"/>
        </w:pBdr>
        <w:spacing w:after="80"/>
      </w:pPr>
    </w:p>
    <w:p>
      <w:pPr>
        <w:jc w:val="center"/>
      </w:pPr>
      <w:r>
        <w:rPr>
          <w:rFonts w:ascii="Calibri" w:hAnsi="Calibri"/>
          <w:b w:val="0"/>
          <w:i/>
          <w:color w:val="AAAAAA"/>
          <w:sz w:val="18"/>
        </w:rPr>
        <w:t>◈  CRUCIX REDLINE  ·  Confidential  ·  Internal Architecture Document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