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7F7932" w14:textId="77777777" w:rsidR="00B57D7C" w:rsidRDefault="00000000">
      <w:pPr>
        <w:spacing w:before="720" w:after="80"/>
        <w:jc w:val="center"/>
      </w:pPr>
      <w:r>
        <w:rPr>
          <w:rFonts w:ascii="Calibri" w:hAnsi="Calibri"/>
          <w:b/>
          <w:color w:val="FF6B00"/>
          <w:sz w:val="56"/>
        </w:rPr>
        <w:t xml:space="preserve">◈  CRUCIX </w:t>
      </w:r>
      <w:r w:rsidRPr="001A0F4F">
        <w:rPr>
          <w:rFonts w:ascii="Calibri" w:hAnsi="Calibri"/>
          <w:b/>
          <w:color w:val="EE0000"/>
          <w:sz w:val="56"/>
        </w:rPr>
        <w:t>REDLINE</w:t>
      </w:r>
    </w:p>
    <w:p w14:paraId="6A594894" w14:textId="77777777" w:rsidR="00B57D7C" w:rsidRDefault="00000000">
      <w:pPr>
        <w:spacing w:after="40"/>
        <w:jc w:val="center"/>
      </w:pPr>
      <w:r>
        <w:rPr>
          <w:rFonts w:ascii="Calibri" w:hAnsi="Calibri"/>
          <w:color w:val="444444"/>
          <w:sz w:val="24"/>
        </w:rPr>
        <w:t>SYSTEM ARCHITECTURE &amp; PERFORMANCE FEEDBACK LOOP</w:t>
      </w:r>
    </w:p>
    <w:p w14:paraId="7E4258A9" w14:textId="77777777" w:rsidR="00B57D7C" w:rsidRDefault="00000000">
      <w:pPr>
        <w:spacing w:after="800"/>
        <w:jc w:val="center"/>
      </w:pPr>
      <w:r>
        <w:rPr>
          <w:rFonts w:ascii="Calibri" w:hAnsi="Calibri"/>
          <w:i/>
          <w:color w:val="AAAAAA"/>
          <w:sz w:val="20"/>
        </w:rPr>
        <w:t>Technical Overview  ·  April 2026</w:t>
      </w:r>
    </w:p>
    <w:p w14:paraId="5250581C" w14:textId="77777777" w:rsidR="00B57D7C" w:rsidRDefault="00B57D7C">
      <w:pPr>
        <w:pBdr>
          <w:bottom w:val="single" w:sz="6" w:space="1" w:color="FF6B00"/>
        </w:pBdr>
        <w:spacing w:after="480"/>
      </w:pPr>
    </w:p>
    <w:p w14:paraId="6F5108CE" w14:textId="77777777" w:rsidR="00B57D7C" w:rsidRDefault="00000000">
      <w:pPr>
        <w:pBdr>
          <w:bottom w:val="single" w:sz="6" w:space="1" w:color="FF6B00"/>
        </w:pBdr>
        <w:spacing w:before="360" w:after="80"/>
      </w:pPr>
      <w:r>
        <w:rPr>
          <w:rFonts w:ascii="Calibri" w:hAnsi="Calibri"/>
          <w:b/>
          <w:color w:val="FF6B00"/>
          <w:sz w:val="32"/>
        </w:rPr>
        <w:t xml:space="preserve">1. WHAT </w:t>
      </w:r>
      <w:r w:rsidRPr="001A0F4F">
        <w:rPr>
          <w:rFonts w:ascii="Calibri" w:hAnsi="Calibri"/>
          <w:b/>
          <w:color w:val="EE0000"/>
          <w:sz w:val="32"/>
        </w:rPr>
        <w:t xml:space="preserve">REDLINE </w:t>
      </w:r>
      <w:r>
        <w:rPr>
          <w:rFonts w:ascii="Calibri" w:hAnsi="Calibri"/>
          <w:b/>
          <w:color w:val="FF6B00"/>
          <w:sz w:val="32"/>
        </w:rPr>
        <w:t>IS</w:t>
      </w:r>
    </w:p>
    <w:p w14:paraId="12CBB07D" w14:textId="77777777" w:rsidR="00B57D7C" w:rsidRDefault="00000000">
      <w:pPr>
        <w:spacing w:before="40" w:after="80"/>
      </w:pPr>
      <w:r>
        <w:rPr>
          <w:rFonts w:ascii="Calibri" w:hAnsi="Calibri"/>
          <w:color w:val="444444"/>
          <w:sz w:val="20"/>
        </w:rPr>
        <w:t>RedLine is a multi-agent AI trading council built on top of the Crucix platform. Rather than a single model making decisions, it runs a structured debate between four specialized agents on every 10-minute market sweep. Each agent has a defined role, and no trade executes without passing through all four stages.</w:t>
      </w:r>
    </w:p>
    <w:p w14:paraId="2B3E6362" w14:textId="77777777" w:rsidR="00B57D7C" w:rsidRDefault="00000000">
      <w:pPr>
        <w:pBdr>
          <w:bottom w:val="single" w:sz="6" w:space="1" w:color="FF6B00"/>
        </w:pBdr>
        <w:spacing w:before="360" w:after="80"/>
      </w:pPr>
      <w:r>
        <w:rPr>
          <w:rFonts w:ascii="Calibri" w:hAnsi="Calibri"/>
          <w:b/>
          <w:color w:val="FF6B00"/>
          <w:sz w:val="32"/>
        </w:rPr>
        <w:t>2. THE COUNCIL — FOUR AGENTS, ONE VERDICT</w:t>
      </w:r>
    </w:p>
    <w:p w14:paraId="13777461" w14:textId="77777777" w:rsidR="00B57D7C" w:rsidRDefault="00000000">
      <w:pPr>
        <w:spacing w:before="160" w:after="40"/>
      </w:pPr>
      <w:r>
        <w:rPr>
          <w:rFonts w:ascii="Calibri" w:hAnsi="Calibri"/>
          <w:b/>
          <w:color w:val="1A1A1A"/>
        </w:rPr>
        <w:t>Scout  (Beta)</w:t>
      </w:r>
    </w:p>
    <w:tbl>
      <w:tblPr>
        <w:tblStyle w:val="TableGrid"/>
        <w:tblW w:w="0" w:type="auto"/>
        <w:tblLook w:val="04A0" w:firstRow="1" w:lastRow="0" w:firstColumn="1" w:lastColumn="0" w:noHBand="0" w:noVBand="1"/>
      </w:tblPr>
      <w:tblGrid>
        <w:gridCol w:w="2160"/>
        <w:gridCol w:w="7200"/>
      </w:tblGrid>
      <w:tr w:rsidR="00B57D7C" w14:paraId="29FF952A" w14:textId="77777777">
        <w:tc>
          <w:tcPr>
            <w:tcW w:w="2160" w:type="dxa"/>
            <w:tcBorders>
              <w:top w:val="single" w:sz="4" w:space="0" w:color="DDDDDD"/>
              <w:left w:val="single" w:sz="4" w:space="0" w:color="DDDDDD"/>
              <w:bottom w:val="single" w:sz="4" w:space="0" w:color="DDDDDD"/>
              <w:right w:val="single" w:sz="4" w:space="0" w:color="DDDDDD"/>
            </w:tcBorders>
            <w:shd w:val="clear" w:color="auto" w:fill="F5F5F5"/>
            <w:vAlign w:val="center"/>
          </w:tcPr>
          <w:p w14:paraId="68B8758B" w14:textId="77777777" w:rsidR="00B57D7C" w:rsidRDefault="00000000">
            <w:pPr>
              <w:ind w:left="120"/>
            </w:pPr>
            <w:r>
              <w:rPr>
                <w:rFonts w:ascii="Calibri" w:hAnsi="Calibri"/>
                <w:b/>
                <w:color w:val="1A1A1A"/>
                <w:sz w:val="18"/>
              </w:rPr>
              <w:t>Model</w:t>
            </w:r>
          </w:p>
        </w:tc>
        <w:tc>
          <w:tcPr>
            <w:tcW w:w="7200" w:type="dxa"/>
            <w:tcBorders>
              <w:top w:val="single" w:sz="4" w:space="0" w:color="DDDDDD"/>
              <w:left w:val="single" w:sz="4" w:space="0" w:color="DDDDDD"/>
              <w:bottom w:val="single" w:sz="4" w:space="0" w:color="DDDDDD"/>
              <w:right w:val="single" w:sz="4" w:space="0" w:color="DDDDDD"/>
            </w:tcBorders>
            <w:vAlign w:val="center"/>
          </w:tcPr>
          <w:p w14:paraId="07823A34" w14:textId="77777777" w:rsidR="00B57D7C" w:rsidRDefault="00000000">
            <w:pPr>
              <w:ind w:left="120"/>
            </w:pPr>
            <w:r>
              <w:rPr>
                <w:rFonts w:ascii="Calibri" w:hAnsi="Calibri"/>
                <w:color w:val="444444"/>
                <w:sz w:val="18"/>
              </w:rPr>
              <w:t>Gemini Flash</w:t>
            </w:r>
          </w:p>
        </w:tc>
      </w:tr>
      <w:tr w:rsidR="00B57D7C" w14:paraId="09828A6B" w14:textId="77777777">
        <w:tc>
          <w:tcPr>
            <w:tcW w:w="2160" w:type="dxa"/>
            <w:tcBorders>
              <w:top w:val="single" w:sz="4" w:space="0" w:color="DDDDDD"/>
              <w:left w:val="single" w:sz="4" w:space="0" w:color="DDDDDD"/>
              <w:bottom w:val="single" w:sz="4" w:space="0" w:color="DDDDDD"/>
              <w:right w:val="single" w:sz="4" w:space="0" w:color="DDDDDD"/>
            </w:tcBorders>
            <w:shd w:val="clear" w:color="auto" w:fill="F5F5F5"/>
            <w:vAlign w:val="center"/>
          </w:tcPr>
          <w:p w14:paraId="4D0A2F8B" w14:textId="77777777" w:rsidR="00B57D7C" w:rsidRDefault="00000000">
            <w:pPr>
              <w:ind w:left="120"/>
            </w:pPr>
            <w:r>
              <w:rPr>
                <w:rFonts w:ascii="Calibri" w:hAnsi="Calibri"/>
                <w:b/>
                <w:color w:val="1A1A1A"/>
                <w:sz w:val="18"/>
              </w:rPr>
              <w:t>Role</w:t>
            </w:r>
          </w:p>
        </w:tc>
        <w:tc>
          <w:tcPr>
            <w:tcW w:w="7200" w:type="dxa"/>
            <w:tcBorders>
              <w:top w:val="single" w:sz="4" w:space="0" w:color="DDDDDD"/>
              <w:left w:val="single" w:sz="4" w:space="0" w:color="DDDDDD"/>
              <w:bottom w:val="single" w:sz="4" w:space="0" w:color="DDDDDD"/>
              <w:right w:val="single" w:sz="4" w:space="0" w:color="DDDDDD"/>
            </w:tcBorders>
            <w:vAlign w:val="center"/>
          </w:tcPr>
          <w:p w14:paraId="1ACEC5AF" w14:textId="77777777" w:rsidR="00B57D7C" w:rsidRDefault="00000000">
            <w:pPr>
              <w:ind w:left="120"/>
            </w:pPr>
            <w:r>
              <w:rPr>
                <w:rFonts w:ascii="Calibri" w:hAnsi="Calibri"/>
                <w:color w:val="444444"/>
                <w:sz w:val="18"/>
              </w:rPr>
              <w:t>Scans news, congressional trades, RSI, and momentum. Selects the single highest-conviction setup per sweep. Classifies every idea with a trade horizon (INTRADAY / SWING / LONG). Now reads last review context to self-calibrate signal scoring.</w:t>
            </w:r>
          </w:p>
        </w:tc>
      </w:tr>
    </w:tbl>
    <w:p w14:paraId="7004D50E" w14:textId="77777777" w:rsidR="00B57D7C" w:rsidRDefault="00B57D7C"/>
    <w:p w14:paraId="046E5E0B" w14:textId="77777777" w:rsidR="00B57D7C" w:rsidRDefault="00000000">
      <w:pPr>
        <w:spacing w:before="160" w:after="40"/>
      </w:pPr>
      <w:r>
        <w:rPr>
          <w:rFonts w:ascii="Calibri" w:hAnsi="Calibri"/>
          <w:b/>
          <w:color w:val="1A1A1A"/>
        </w:rPr>
        <w:t>Phi  (Bull)</w:t>
      </w:r>
    </w:p>
    <w:tbl>
      <w:tblPr>
        <w:tblStyle w:val="TableGrid"/>
        <w:tblW w:w="0" w:type="auto"/>
        <w:tblLook w:val="04A0" w:firstRow="1" w:lastRow="0" w:firstColumn="1" w:lastColumn="0" w:noHBand="0" w:noVBand="1"/>
      </w:tblPr>
      <w:tblGrid>
        <w:gridCol w:w="2160"/>
        <w:gridCol w:w="7200"/>
      </w:tblGrid>
      <w:tr w:rsidR="00B57D7C" w14:paraId="00082663" w14:textId="77777777">
        <w:tc>
          <w:tcPr>
            <w:tcW w:w="2160" w:type="dxa"/>
            <w:tcBorders>
              <w:top w:val="single" w:sz="4" w:space="0" w:color="DDDDDD"/>
              <w:left w:val="single" w:sz="4" w:space="0" w:color="DDDDDD"/>
              <w:bottom w:val="single" w:sz="4" w:space="0" w:color="DDDDDD"/>
              <w:right w:val="single" w:sz="4" w:space="0" w:color="DDDDDD"/>
            </w:tcBorders>
            <w:shd w:val="clear" w:color="auto" w:fill="F5F5F5"/>
            <w:vAlign w:val="center"/>
          </w:tcPr>
          <w:p w14:paraId="191A8B77" w14:textId="77777777" w:rsidR="00B57D7C" w:rsidRDefault="00000000">
            <w:pPr>
              <w:ind w:left="120"/>
            </w:pPr>
            <w:r>
              <w:rPr>
                <w:rFonts w:ascii="Calibri" w:hAnsi="Calibri"/>
                <w:b/>
                <w:color w:val="1A1A1A"/>
                <w:sz w:val="18"/>
              </w:rPr>
              <w:t>Model</w:t>
            </w:r>
          </w:p>
        </w:tc>
        <w:tc>
          <w:tcPr>
            <w:tcW w:w="7200" w:type="dxa"/>
            <w:tcBorders>
              <w:top w:val="single" w:sz="4" w:space="0" w:color="DDDDDD"/>
              <w:left w:val="single" w:sz="4" w:space="0" w:color="DDDDDD"/>
              <w:bottom w:val="single" w:sz="4" w:space="0" w:color="DDDDDD"/>
              <w:right w:val="single" w:sz="4" w:space="0" w:color="DDDDDD"/>
            </w:tcBorders>
            <w:vAlign w:val="center"/>
          </w:tcPr>
          <w:p w14:paraId="2A6501F0" w14:textId="77777777" w:rsidR="00B57D7C" w:rsidRDefault="00000000">
            <w:pPr>
              <w:ind w:left="120"/>
            </w:pPr>
            <w:r>
              <w:rPr>
                <w:rFonts w:ascii="Calibri" w:hAnsi="Calibri"/>
                <w:color w:val="444444"/>
                <w:sz w:val="18"/>
              </w:rPr>
              <w:t>GPT-4o / GPT-OSS-120B</w:t>
            </w:r>
          </w:p>
        </w:tc>
      </w:tr>
      <w:tr w:rsidR="00B57D7C" w14:paraId="2DA8B2B1" w14:textId="77777777">
        <w:tc>
          <w:tcPr>
            <w:tcW w:w="2160" w:type="dxa"/>
            <w:tcBorders>
              <w:top w:val="single" w:sz="4" w:space="0" w:color="DDDDDD"/>
              <w:left w:val="single" w:sz="4" w:space="0" w:color="DDDDDD"/>
              <w:bottom w:val="single" w:sz="4" w:space="0" w:color="DDDDDD"/>
              <w:right w:val="single" w:sz="4" w:space="0" w:color="DDDDDD"/>
            </w:tcBorders>
            <w:shd w:val="clear" w:color="auto" w:fill="F5F5F5"/>
            <w:vAlign w:val="center"/>
          </w:tcPr>
          <w:p w14:paraId="53B56168" w14:textId="77777777" w:rsidR="00B57D7C" w:rsidRDefault="00000000">
            <w:pPr>
              <w:ind w:left="120"/>
            </w:pPr>
            <w:r>
              <w:rPr>
                <w:rFonts w:ascii="Calibri" w:hAnsi="Calibri"/>
                <w:b/>
                <w:color w:val="1A1A1A"/>
                <w:sz w:val="18"/>
              </w:rPr>
              <w:t>Role</w:t>
            </w:r>
          </w:p>
        </w:tc>
        <w:tc>
          <w:tcPr>
            <w:tcW w:w="7200" w:type="dxa"/>
            <w:tcBorders>
              <w:top w:val="single" w:sz="4" w:space="0" w:color="DDDDDD"/>
              <w:left w:val="single" w:sz="4" w:space="0" w:color="DDDDDD"/>
              <w:bottom w:val="single" w:sz="4" w:space="0" w:color="DDDDDD"/>
              <w:right w:val="single" w:sz="4" w:space="0" w:color="DDDDDD"/>
            </w:tcBorders>
            <w:vAlign w:val="center"/>
          </w:tcPr>
          <w:p w14:paraId="7066AA85" w14:textId="77777777" w:rsidR="00B57D7C" w:rsidRDefault="00000000">
            <w:pPr>
              <w:ind w:left="120"/>
            </w:pPr>
            <w:r>
              <w:rPr>
                <w:rFonts w:ascii="Calibri" w:hAnsi="Calibri"/>
                <w:color w:val="444444"/>
                <w:sz w:val="18"/>
              </w:rPr>
              <w:t>Builds the bullish case for Scout's pick. Argues why the trade is worth executing — catalysts, technicals, congressional signal, risk/reward.</w:t>
            </w:r>
          </w:p>
        </w:tc>
      </w:tr>
    </w:tbl>
    <w:p w14:paraId="3BDC0C3D" w14:textId="77777777" w:rsidR="00B57D7C" w:rsidRDefault="00B57D7C"/>
    <w:p w14:paraId="03CE5522" w14:textId="77777777" w:rsidR="00B57D7C" w:rsidRDefault="00000000">
      <w:pPr>
        <w:spacing w:before="160" w:after="40"/>
      </w:pPr>
      <w:r>
        <w:rPr>
          <w:rFonts w:ascii="Calibri" w:hAnsi="Calibri"/>
          <w:b/>
          <w:color w:val="1A1A1A"/>
        </w:rPr>
        <w:t>Theta  (Bear)</w:t>
      </w:r>
    </w:p>
    <w:tbl>
      <w:tblPr>
        <w:tblStyle w:val="TableGrid"/>
        <w:tblW w:w="0" w:type="auto"/>
        <w:tblLook w:val="04A0" w:firstRow="1" w:lastRow="0" w:firstColumn="1" w:lastColumn="0" w:noHBand="0" w:noVBand="1"/>
      </w:tblPr>
      <w:tblGrid>
        <w:gridCol w:w="2160"/>
        <w:gridCol w:w="7200"/>
      </w:tblGrid>
      <w:tr w:rsidR="00B57D7C" w14:paraId="7724A06B" w14:textId="77777777">
        <w:tc>
          <w:tcPr>
            <w:tcW w:w="2160" w:type="dxa"/>
            <w:tcBorders>
              <w:top w:val="single" w:sz="4" w:space="0" w:color="DDDDDD"/>
              <w:left w:val="single" w:sz="4" w:space="0" w:color="DDDDDD"/>
              <w:bottom w:val="single" w:sz="4" w:space="0" w:color="DDDDDD"/>
              <w:right w:val="single" w:sz="4" w:space="0" w:color="DDDDDD"/>
            </w:tcBorders>
            <w:shd w:val="clear" w:color="auto" w:fill="F5F5F5"/>
            <w:vAlign w:val="center"/>
          </w:tcPr>
          <w:p w14:paraId="1DA4AC15" w14:textId="77777777" w:rsidR="00B57D7C" w:rsidRDefault="00000000">
            <w:pPr>
              <w:ind w:left="120"/>
            </w:pPr>
            <w:r>
              <w:rPr>
                <w:rFonts w:ascii="Calibri" w:hAnsi="Calibri"/>
                <w:b/>
                <w:color w:val="1A1A1A"/>
                <w:sz w:val="18"/>
              </w:rPr>
              <w:t>Model</w:t>
            </w:r>
          </w:p>
        </w:tc>
        <w:tc>
          <w:tcPr>
            <w:tcW w:w="7200" w:type="dxa"/>
            <w:tcBorders>
              <w:top w:val="single" w:sz="4" w:space="0" w:color="DDDDDD"/>
              <w:left w:val="single" w:sz="4" w:space="0" w:color="DDDDDD"/>
              <w:bottom w:val="single" w:sz="4" w:space="0" w:color="DDDDDD"/>
              <w:right w:val="single" w:sz="4" w:space="0" w:color="DDDDDD"/>
            </w:tcBorders>
            <w:vAlign w:val="center"/>
          </w:tcPr>
          <w:p w14:paraId="516A53FB" w14:textId="77777777" w:rsidR="00B57D7C" w:rsidRDefault="00000000">
            <w:pPr>
              <w:ind w:left="120"/>
            </w:pPr>
            <w:r>
              <w:rPr>
                <w:rFonts w:ascii="Calibri" w:hAnsi="Calibri"/>
                <w:color w:val="444444"/>
                <w:sz w:val="18"/>
              </w:rPr>
              <w:t>Qwen3-32B</w:t>
            </w:r>
          </w:p>
        </w:tc>
      </w:tr>
      <w:tr w:rsidR="00B57D7C" w14:paraId="35DAC7F3" w14:textId="77777777">
        <w:tc>
          <w:tcPr>
            <w:tcW w:w="2160" w:type="dxa"/>
            <w:tcBorders>
              <w:top w:val="single" w:sz="4" w:space="0" w:color="DDDDDD"/>
              <w:left w:val="single" w:sz="4" w:space="0" w:color="DDDDDD"/>
              <w:bottom w:val="single" w:sz="4" w:space="0" w:color="DDDDDD"/>
              <w:right w:val="single" w:sz="4" w:space="0" w:color="DDDDDD"/>
            </w:tcBorders>
            <w:shd w:val="clear" w:color="auto" w:fill="F5F5F5"/>
            <w:vAlign w:val="center"/>
          </w:tcPr>
          <w:p w14:paraId="532B19B6" w14:textId="77777777" w:rsidR="00B57D7C" w:rsidRDefault="00000000">
            <w:pPr>
              <w:ind w:left="120"/>
            </w:pPr>
            <w:r>
              <w:rPr>
                <w:rFonts w:ascii="Calibri" w:hAnsi="Calibri"/>
                <w:b/>
                <w:color w:val="1A1A1A"/>
                <w:sz w:val="18"/>
              </w:rPr>
              <w:t>Role</w:t>
            </w:r>
          </w:p>
        </w:tc>
        <w:tc>
          <w:tcPr>
            <w:tcW w:w="7200" w:type="dxa"/>
            <w:tcBorders>
              <w:top w:val="single" w:sz="4" w:space="0" w:color="DDDDDD"/>
              <w:left w:val="single" w:sz="4" w:space="0" w:color="DDDDDD"/>
              <w:bottom w:val="single" w:sz="4" w:space="0" w:color="DDDDDD"/>
              <w:right w:val="single" w:sz="4" w:space="0" w:color="DDDDDD"/>
            </w:tcBorders>
            <w:vAlign w:val="center"/>
          </w:tcPr>
          <w:p w14:paraId="37864A3D" w14:textId="77777777" w:rsidR="00B57D7C" w:rsidRDefault="00000000">
            <w:pPr>
              <w:ind w:left="120"/>
            </w:pPr>
            <w:r>
              <w:rPr>
                <w:rFonts w:ascii="Calibri" w:hAnsi="Calibri"/>
                <w:color w:val="444444"/>
                <w:sz w:val="18"/>
              </w:rPr>
              <w:t>Prosecutes the trade. Identifies macro risks, PDT conflicts, sector crowding, and overextension. Forces Gregor to weigh the other side.</w:t>
            </w:r>
          </w:p>
        </w:tc>
      </w:tr>
    </w:tbl>
    <w:p w14:paraId="25357B30" w14:textId="77777777" w:rsidR="00B57D7C" w:rsidRDefault="00B57D7C"/>
    <w:p w14:paraId="0FC3A5F9" w14:textId="77777777" w:rsidR="00B57D7C" w:rsidRDefault="00000000">
      <w:pPr>
        <w:spacing w:before="160" w:after="40"/>
      </w:pPr>
      <w:r>
        <w:rPr>
          <w:rFonts w:ascii="Calibri" w:hAnsi="Calibri"/>
          <w:b/>
          <w:color w:val="1A1A1A"/>
        </w:rPr>
        <w:t>Gregor  (Omega)</w:t>
      </w:r>
    </w:p>
    <w:tbl>
      <w:tblPr>
        <w:tblStyle w:val="TableGrid"/>
        <w:tblW w:w="0" w:type="auto"/>
        <w:tblLook w:val="04A0" w:firstRow="1" w:lastRow="0" w:firstColumn="1" w:lastColumn="0" w:noHBand="0" w:noVBand="1"/>
      </w:tblPr>
      <w:tblGrid>
        <w:gridCol w:w="2160"/>
        <w:gridCol w:w="7200"/>
      </w:tblGrid>
      <w:tr w:rsidR="00B57D7C" w14:paraId="6D437009" w14:textId="77777777">
        <w:tc>
          <w:tcPr>
            <w:tcW w:w="2160" w:type="dxa"/>
            <w:tcBorders>
              <w:top w:val="single" w:sz="4" w:space="0" w:color="DDDDDD"/>
              <w:left w:val="single" w:sz="4" w:space="0" w:color="DDDDDD"/>
              <w:bottom w:val="single" w:sz="4" w:space="0" w:color="DDDDDD"/>
              <w:right w:val="single" w:sz="4" w:space="0" w:color="DDDDDD"/>
            </w:tcBorders>
            <w:shd w:val="clear" w:color="auto" w:fill="F5F5F5"/>
            <w:vAlign w:val="center"/>
          </w:tcPr>
          <w:p w14:paraId="5FC30A83" w14:textId="77777777" w:rsidR="00B57D7C" w:rsidRDefault="00000000">
            <w:pPr>
              <w:ind w:left="120"/>
            </w:pPr>
            <w:r>
              <w:rPr>
                <w:rFonts w:ascii="Calibri" w:hAnsi="Calibri"/>
                <w:b/>
                <w:color w:val="1A1A1A"/>
                <w:sz w:val="18"/>
              </w:rPr>
              <w:t>Model</w:t>
            </w:r>
          </w:p>
        </w:tc>
        <w:tc>
          <w:tcPr>
            <w:tcW w:w="7200" w:type="dxa"/>
            <w:tcBorders>
              <w:top w:val="single" w:sz="4" w:space="0" w:color="DDDDDD"/>
              <w:left w:val="single" w:sz="4" w:space="0" w:color="DDDDDD"/>
              <w:bottom w:val="single" w:sz="4" w:space="0" w:color="DDDDDD"/>
              <w:right w:val="single" w:sz="4" w:space="0" w:color="DDDDDD"/>
            </w:tcBorders>
            <w:vAlign w:val="center"/>
          </w:tcPr>
          <w:p w14:paraId="58772140" w14:textId="430E7ABE" w:rsidR="00B57D7C" w:rsidRDefault="00000000">
            <w:pPr>
              <w:ind w:left="120"/>
            </w:pPr>
            <w:r>
              <w:rPr>
                <w:rFonts w:ascii="Calibri" w:hAnsi="Calibri"/>
                <w:color w:val="444444"/>
                <w:sz w:val="18"/>
              </w:rPr>
              <w:t>Grok</w:t>
            </w:r>
            <w:r w:rsidR="001A0F4F">
              <w:rPr>
                <w:rFonts w:ascii="Calibri" w:hAnsi="Calibri"/>
                <w:color w:val="444444"/>
                <w:sz w:val="18"/>
              </w:rPr>
              <w:t xml:space="preserve"> 4.2</w:t>
            </w:r>
            <w:r>
              <w:rPr>
                <w:rFonts w:ascii="Calibri" w:hAnsi="Calibri"/>
                <w:color w:val="444444"/>
                <w:sz w:val="18"/>
              </w:rPr>
              <w:t xml:space="preserve"> (via Puter)</w:t>
            </w:r>
          </w:p>
        </w:tc>
      </w:tr>
      <w:tr w:rsidR="00B57D7C" w14:paraId="4D357F52" w14:textId="77777777">
        <w:tc>
          <w:tcPr>
            <w:tcW w:w="2160" w:type="dxa"/>
            <w:tcBorders>
              <w:top w:val="single" w:sz="4" w:space="0" w:color="DDDDDD"/>
              <w:left w:val="single" w:sz="4" w:space="0" w:color="DDDDDD"/>
              <w:bottom w:val="single" w:sz="4" w:space="0" w:color="DDDDDD"/>
              <w:right w:val="single" w:sz="4" w:space="0" w:color="DDDDDD"/>
            </w:tcBorders>
            <w:shd w:val="clear" w:color="auto" w:fill="F5F5F5"/>
            <w:vAlign w:val="center"/>
          </w:tcPr>
          <w:p w14:paraId="4F2DF6AA" w14:textId="77777777" w:rsidR="00B57D7C" w:rsidRDefault="00000000">
            <w:pPr>
              <w:ind w:left="120"/>
            </w:pPr>
            <w:r>
              <w:rPr>
                <w:rFonts w:ascii="Calibri" w:hAnsi="Calibri"/>
                <w:b/>
                <w:color w:val="1A1A1A"/>
                <w:sz w:val="18"/>
              </w:rPr>
              <w:t>Role</w:t>
            </w:r>
          </w:p>
        </w:tc>
        <w:tc>
          <w:tcPr>
            <w:tcW w:w="7200" w:type="dxa"/>
            <w:tcBorders>
              <w:top w:val="single" w:sz="4" w:space="0" w:color="DDDDDD"/>
              <w:left w:val="single" w:sz="4" w:space="0" w:color="DDDDDD"/>
              <w:bottom w:val="single" w:sz="4" w:space="0" w:color="DDDDDD"/>
              <w:right w:val="single" w:sz="4" w:space="0" w:color="DDDDDD"/>
            </w:tcBorders>
            <w:vAlign w:val="center"/>
          </w:tcPr>
          <w:p w14:paraId="315CB917" w14:textId="77777777" w:rsidR="00B57D7C" w:rsidRDefault="00000000">
            <w:pPr>
              <w:ind w:left="120"/>
            </w:pPr>
            <w:r>
              <w:rPr>
                <w:rFonts w:ascii="Calibri" w:hAnsi="Calibri"/>
                <w:color w:val="444444"/>
                <w:sz w:val="18"/>
              </w:rPr>
              <w:t>Master Macro Decider. Synthesizes Phi and Theta's debate into a final executable order. Outputs structured JSON: symbol, action, order type, price, units, time in force. Now reads last review to apply performance-based sizing modifiers.</w:t>
            </w:r>
          </w:p>
        </w:tc>
      </w:tr>
    </w:tbl>
    <w:p w14:paraId="18625012" w14:textId="77777777" w:rsidR="00B57D7C" w:rsidRDefault="00B57D7C"/>
    <w:p w14:paraId="0EA68FDE" w14:textId="77777777" w:rsidR="00B57D7C" w:rsidRDefault="00000000">
      <w:pPr>
        <w:pBdr>
          <w:bottom w:val="single" w:sz="6" w:space="1" w:color="FF6B00"/>
        </w:pBdr>
        <w:spacing w:before="360" w:after="80"/>
      </w:pPr>
      <w:r>
        <w:rPr>
          <w:rFonts w:ascii="Calibri" w:hAnsi="Calibri"/>
          <w:b/>
          <w:color w:val="FF6B00"/>
          <w:sz w:val="32"/>
        </w:rPr>
        <w:lastRenderedPageBreak/>
        <w:t>3. TRADE HORIZON CLASSIFICATION</w:t>
      </w:r>
    </w:p>
    <w:p w14:paraId="26E9FC82" w14:textId="77777777" w:rsidR="00B57D7C" w:rsidRDefault="00000000">
      <w:pPr>
        <w:spacing w:before="40" w:after="80"/>
      </w:pPr>
      <w:r>
        <w:rPr>
          <w:rFonts w:ascii="Calibri" w:hAnsi="Calibri"/>
          <w:color w:val="444444"/>
          <w:sz w:val="20"/>
        </w:rPr>
        <w:t>Every escalation Scout raises is classified into one of three horizons. This determines how Gregor sizes and times the order, and how long the decision is tracked before being evaluated.</w:t>
      </w:r>
    </w:p>
    <w:tbl>
      <w:tblPr>
        <w:tblStyle w:val="TableGrid"/>
        <w:tblW w:w="0" w:type="auto"/>
        <w:tblLook w:val="04A0" w:firstRow="1" w:lastRow="0" w:firstColumn="1" w:lastColumn="0" w:noHBand="0" w:noVBand="1"/>
      </w:tblPr>
      <w:tblGrid>
        <w:gridCol w:w="1719"/>
        <w:gridCol w:w="2143"/>
        <w:gridCol w:w="2145"/>
        <w:gridCol w:w="3569"/>
      </w:tblGrid>
      <w:tr w:rsidR="00B57D7C" w14:paraId="27492DD1" w14:textId="77777777">
        <w:tc>
          <w:tcPr>
            <w:tcW w:w="1728" w:type="dxa"/>
            <w:tcBorders>
              <w:top w:val="single" w:sz="4" w:space="0" w:color="FF6B00"/>
              <w:left w:val="single" w:sz="4" w:space="0" w:color="FF6B00"/>
              <w:bottom w:val="single" w:sz="4" w:space="0" w:color="FF6B00"/>
              <w:right w:val="single" w:sz="4" w:space="0" w:color="FF6B00"/>
            </w:tcBorders>
            <w:shd w:val="clear" w:color="auto" w:fill="1A1A1A"/>
          </w:tcPr>
          <w:p w14:paraId="7988DE4A" w14:textId="77777777" w:rsidR="00B57D7C" w:rsidRDefault="00000000">
            <w:pPr>
              <w:ind w:left="80"/>
            </w:pPr>
            <w:r>
              <w:rPr>
                <w:rFonts w:ascii="Calibri" w:hAnsi="Calibri"/>
                <w:b/>
                <w:color w:val="FF6B00"/>
                <w:sz w:val="18"/>
              </w:rPr>
              <w:t>HORIZON</w:t>
            </w:r>
          </w:p>
        </w:tc>
        <w:tc>
          <w:tcPr>
            <w:tcW w:w="2160" w:type="dxa"/>
            <w:tcBorders>
              <w:top w:val="single" w:sz="4" w:space="0" w:color="FF6B00"/>
              <w:left w:val="single" w:sz="4" w:space="0" w:color="FF6B00"/>
              <w:bottom w:val="single" w:sz="4" w:space="0" w:color="FF6B00"/>
              <w:right w:val="single" w:sz="4" w:space="0" w:color="FF6B00"/>
            </w:tcBorders>
            <w:shd w:val="clear" w:color="auto" w:fill="1A1A1A"/>
          </w:tcPr>
          <w:p w14:paraId="12C4BFA3" w14:textId="77777777" w:rsidR="00B57D7C" w:rsidRDefault="00000000">
            <w:pPr>
              <w:ind w:left="80"/>
            </w:pPr>
            <w:r>
              <w:rPr>
                <w:rFonts w:ascii="Calibri" w:hAnsi="Calibri"/>
                <w:b/>
                <w:color w:val="FF6B00"/>
                <w:sz w:val="18"/>
              </w:rPr>
              <w:t>HOLD PERIOD</w:t>
            </w:r>
          </w:p>
        </w:tc>
        <w:tc>
          <w:tcPr>
            <w:tcW w:w="2160" w:type="dxa"/>
            <w:tcBorders>
              <w:top w:val="single" w:sz="4" w:space="0" w:color="FF6B00"/>
              <w:left w:val="single" w:sz="4" w:space="0" w:color="FF6B00"/>
              <w:bottom w:val="single" w:sz="4" w:space="0" w:color="FF6B00"/>
              <w:right w:val="single" w:sz="4" w:space="0" w:color="FF6B00"/>
            </w:tcBorders>
            <w:shd w:val="clear" w:color="auto" w:fill="1A1A1A"/>
          </w:tcPr>
          <w:p w14:paraId="20F88258" w14:textId="77777777" w:rsidR="00B57D7C" w:rsidRDefault="00000000">
            <w:pPr>
              <w:ind w:left="80"/>
            </w:pPr>
            <w:r>
              <w:rPr>
                <w:rFonts w:ascii="Calibri" w:hAnsi="Calibri"/>
                <w:b/>
                <w:color w:val="FF6B00"/>
                <w:sz w:val="18"/>
              </w:rPr>
              <w:t>EVAL DEADLINE</w:t>
            </w:r>
          </w:p>
        </w:tc>
        <w:tc>
          <w:tcPr>
            <w:tcW w:w="3600" w:type="dxa"/>
            <w:tcBorders>
              <w:top w:val="single" w:sz="4" w:space="0" w:color="FF6B00"/>
              <w:left w:val="single" w:sz="4" w:space="0" w:color="FF6B00"/>
              <w:bottom w:val="single" w:sz="4" w:space="0" w:color="FF6B00"/>
              <w:right w:val="single" w:sz="4" w:space="0" w:color="FF6B00"/>
            </w:tcBorders>
            <w:shd w:val="clear" w:color="auto" w:fill="1A1A1A"/>
          </w:tcPr>
          <w:p w14:paraId="78AD314C" w14:textId="77777777" w:rsidR="00B57D7C" w:rsidRDefault="00000000">
            <w:pPr>
              <w:ind w:left="80"/>
            </w:pPr>
            <w:r>
              <w:rPr>
                <w:rFonts w:ascii="Calibri" w:hAnsi="Calibri"/>
                <w:b/>
                <w:color w:val="FF6B00"/>
                <w:sz w:val="18"/>
              </w:rPr>
              <w:t>PRIMARY TRIGGER</w:t>
            </w:r>
          </w:p>
        </w:tc>
      </w:tr>
      <w:tr w:rsidR="00B57D7C" w14:paraId="3000288D" w14:textId="77777777">
        <w:tc>
          <w:tcPr>
            <w:tcW w:w="1728" w:type="dxa"/>
            <w:tcBorders>
              <w:top w:val="single" w:sz="4" w:space="0" w:color="DDDDDD"/>
              <w:left w:val="single" w:sz="4" w:space="0" w:color="DDDDDD"/>
              <w:bottom w:val="single" w:sz="4" w:space="0" w:color="DDDDDD"/>
              <w:right w:val="single" w:sz="4" w:space="0" w:color="DDDDDD"/>
            </w:tcBorders>
            <w:shd w:val="clear" w:color="auto" w:fill="FFFFFF"/>
          </w:tcPr>
          <w:p w14:paraId="3D6F727C" w14:textId="77777777" w:rsidR="00B57D7C" w:rsidRDefault="00000000">
            <w:pPr>
              <w:ind w:left="80"/>
            </w:pPr>
            <w:r>
              <w:rPr>
                <w:rFonts w:ascii="Calibri" w:hAnsi="Calibri"/>
                <w:color w:val="444444"/>
                <w:sz w:val="18"/>
              </w:rPr>
              <w:t>INTRADAY</w:t>
            </w:r>
          </w:p>
        </w:tc>
        <w:tc>
          <w:tcPr>
            <w:tcW w:w="2160" w:type="dxa"/>
            <w:tcBorders>
              <w:top w:val="single" w:sz="4" w:space="0" w:color="DDDDDD"/>
              <w:left w:val="single" w:sz="4" w:space="0" w:color="DDDDDD"/>
              <w:bottom w:val="single" w:sz="4" w:space="0" w:color="DDDDDD"/>
              <w:right w:val="single" w:sz="4" w:space="0" w:color="DDDDDD"/>
            </w:tcBorders>
            <w:shd w:val="clear" w:color="auto" w:fill="FFFFFF"/>
          </w:tcPr>
          <w:p w14:paraId="7787C46D" w14:textId="77777777" w:rsidR="00B57D7C" w:rsidRDefault="00000000">
            <w:pPr>
              <w:ind w:left="80"/>
            </w:pPr>
            <w:r>
              <w:rPr>
                <w:rFonts w:ascii="Calibri" w:hAnsi="Calibri"/>
                <w:color w:val="444444"/>
                <w:sz w:val="18"/>
              </w:rPr>
              <w:t>Same day</w:t>
            </w:r>
          </w:p>
        </w:tc>
        <w:tc>
          <w:tcPr>
            <w:tcW w:w="2160" w:type="dxa"/>
            <w:tcBorders>
              <w:top w:val="single" w:sz="4" w:space="0" w:color="DDDDDD"/>
              <w:left w:val="single" w:sz="4" w:space="0" w:color="DDDDDD"/>
              <w:bottom w:val="single" w:sz="4" w:space="0" w:color="DDDDDD"/>
              <w:right w:val="single" w:sz="4" w:space="0" w:color="DDDDDD"/>
            </w:tcBorders>
            <w:shd w:val="clear" w:color="auto" w:fill="FFFFFF"/>
          </w:tcPr>
          <w:p w14:paraId="2E879172" w14:textId="77777777" w:rsidR="00B57D7C" w:rsidRDefault="00000000">
            <w:pPr>
              <w:ind w:left="80"/>
            </w:pPr>
            <w:r>
              <w:rPr>
                <w:rFonts w:ascii="Calibri" w:hAnsi="Calibri"/>
                <w:color w:val="444444"/>
                <w:sz w:val="18"/>
              </w:rPr>
              <w:t>1 day</w:t>
            </w:r>
          </w:p>
        </w:tc>
        <w:tc>
          <w:tcPr>
            <w:tcW w:w="3600" w:type="dxa"/>
            <w:tcBorders>
              <w:top w:val="single" w:sz="4" w:space="0" w:color="DDDDDD"/>
              <w:left w:val="single" w:sz="4" w:space="0" w:color="DDDDDD"/>
              <w:bottom w:val="single" w:sz="4" w:space="0" w:color="DDDDDD"/>
              <w:right w:val="single" w:sz="4" w:space="0" w:color="DDDDDD"/>
            </w:tcBorders>
            <w:shd w:val="clear" w:color="auto" w:fill="FFFFFF"/>
          </w:tcPr>
          <w:p w14:paraId="21E38208" w14:textId="77777777" w:rsidR="00B57D7C" w:rsidRDefault="00000000">
            <w:pPr>
              <w:ind w:left="80"/>
            </w:pPr>
            <w:r>
              <w:rPr>
                <w:rFonts w:ascii="Calibri" w:hAnsi="Calibri"/>
                <w:color w:val="444444"/>
                <w:sz w:val="18"/>
              </w:rPr>
              <w:t>RSI extreme, gap, momentum spike. PDT day trade consumed.</w:t>
            </w:r>
          </w:p>
        </w:tc>
      </w:tr>
      <w:tr w:rsidR="00B57D7C" w14:paraId="1D686489" w14:textId="77777777">
        <w:tc>
          <w:tcPr>
            <w:tcW w:w="1728" w:type="dxa"/>
            <w:tcBorders>
              <w:top w:val="single" w:sz="4" w:space="0" w:color="DDDDDD"/>
              <w:left w:val="single" w:sz="4" w:space="0" w:color="DDDDDD"/>
              <w:bottom w:val="single" w:sz="4" w:space="0" w:color="DDDDDD"/>
              <w:right w:val="single" w:sz="4" w:space="0" w:color="DDDDDD"/>
            </w:tcBorders>
            <w:shd w:val="clear" w:color="auto" w:fill="F9F9F9"/>
          </w:tcPr>
          <w:p w14:paraId="1120732E" w14:textId="77777777" w:rsidR="00B57D7C" w:rsidRDefault="00000000">
            <w:pPr>
              <w:ind w:left="80"/>
            </w:pPr>
            <w:r>
              <w:rPr>
                <w:rFonts w:ascii="Calibri" w:hAnsi="Calibri"/>
                <w:color w:val="444444"/>
                <w:sz w:val="18"/>
              </w:rPr>
              <w:t>SWING</w:t>
            </w:r>
          </w:p>
        </w:tc>
        <w:tc>
          <w:tcPr>
            <w:tcW w:w="2160" w:type="dxa"/>
            <w:tcBorders>
              <w:top w:val="single" w:sz="4" w:space="0" w:color="DDDDDD"/>
              <w:left w:val="single" w:sz="4" w:space="0" w:color="DDDDDD"/>
              <w:bottom w:val="single" w:sz="4" w:space="0" w:color="DDDDDD"/>
              <w:right w:val="single" w:sz="4" w:space="0" w:color="DDDDDD"/>
            </w:tcBorders>
            <w:shd w:val="clear" w:color="auto" w:fill="F9F9F9"/>
          </w:tcPr>
          <w:p w14:paraId="24EF69E7" w14:textId="77777777" w:rsidR="00B57D7C" w:rsidRDefault="00000000">
            <w:pPr>
              <w:ind w:left="80"/>
            </w:pPr>
            <w:r>
              <w:rPr>
                <w:rFonts w:ascii="Calibri" w:hAnsi="Calibri"/>
                <w:color w:val="444444"/>
                <w:sz w:val="18"/>
              </w:rPr>
              <w:t>2–10 days</w:t>
            </w:r>
          </w:p>
        </w:tc>
        <w:tc>
          <w:tcPr>
            <w:tcW w:w="2160" w:type="dxa"/>
            <w:tcBorders>
              <w:top w:val="single" w:sz="4" w:space="0" w:color="DDDDDD"/>
              <w:left w:val="single" w:sz="4" w:space="0" w:color="DDDDDD"/>
              <w:bottom w:val="single" w:sz="4" w:space="0" w:color="DDDDDD"/>
              <w:right w:val="single" w:sz="4" w:space="0" w:color="DDDDDD"/>
            </w:tcBorders>
            <w:shd w:val="clear" w:color="auto" w:fill="F9F9F9"/>
          </w:tcPr>
          <w:p w14:paraId="0FBE939E" w14:textId="77777777" w:rsidR="00B57D7C" w:rsidRDefault="00000000">
            <w:pPr>
              <w:ind w:left="80"/>
            </w:pPr>
            <w:r>
              <w:rPr>
                <w:rFonts w:ascii="Calibri" w:hAnsi="Calibri"/>
                <w:color w:val="444444"/>
                <w:sz w:val="18"/>
              </w:rPr>
              <w:t>10 days</w:t>
            </w:r>
          </w:p>
        </w:tc>
        <w:tc>
          <w:tcPr>
            <w:tcW w:w="3600" w:type="dxa"/>
            <w:tcBorders>
              <w:top w:val="single" w:sz="4" w:space="0" w:color="DDDDDD"/>
              <w:left w:val="single" w:sz="4" w:space="0" w:color="DDDDDD"/>
              <w:bottom w:val="single" w:sz="4" w:space="0" w:color="DDDDDD"/>
              <w:right w:val="single" w:sz="4" w:space="0" w:color="DDDDDD"/>
            </w:tcBorders>
            <w:shd w:val="clear" w:color="auto" w:fill="F9F9F9"/>
          </w:tcPr>
          <w:p w14:paraId="1D31DFEE" w14:textId="77777777" w:rsidR="00B57D7C" w:rsidRDefault="00000000">
            <w:pPr>
              <w:ind w:left="80"/>
            </w:pPr>
            <w:r>
              <w:rPr>
                <w:rFonts w:ascii="Calibri" w:hAnsi="Calibri"/>
                <w:color w:val="444444"/>
                <w:sz w:val="18"/>
              </w:rPr>
              <w:t>News catalyst + technicals. Overnight hold — bypasses PDT.</w:t>
            </w:r>
          </w:p>
        </w:tc>
      </w:tr>
      <w:tr w:rsidR="00B57D7C" w14:paraId="247A7EB4" w14:textId="77777777">
        <w:tc>
          <w:tcPr>
            <w:tcW w:w="1728" w:type="dxa"/>
            <w:tcBorders>
              <w:top w:val="single" w:sz="4" w:space="0" w:color="DDDDDD"/>
              <w:left w:val="single" w:sz="4" w:space="0" w:color="DDDDDD"/>
              <w:bottom w:val="single" w:sz="4" w:space="0" w:color="DDDDDD"/>
              <w:right w:val="single" w:sz="4" w:space="0" w:color="DDDDDD"/>
            </w:tcBorders>
            <w:shd w:val="clear" w:color="auto" w:fill="FFFFFF"/>
          </w:tcPr>
          <w:p w14:paraId="48E5A2A7" w14:textId="77777777" w:rsidR="00B57D7C" w:rsidRDefault="00000000">
            <w:pPr>
              <w:ind w:left="80"/>
            </w:pPr>
            <w:r>
              <w:rPr>
                <w:rFonts w:ascii="Calibri" w:hAnsi="Calibri"/>
                <w:color w:val="444444"/>
                <w:sz w:val="18"/>
              </w:rPr>
              <w:t>LONG</w:t>
            </w:r>
          </w:p>
        </w:tc>
        <w:tc>
          <w:tcPr>
            <w:tcW w:w="2160" w:type="dxa"/>
            <w:tcBorders>
              <w:top w:val="single" w:sz="4" w:space="0" w:color="DDDDDD"/>
              <w:left w:val="single" w:sz="4" w:space="0" w:color="DDDDDD"/>
              <w:bottom w:val="single" w:sz="4" w:space="0" w:color="DDDDDD"/>
              <w:right w:val="single" w:sz="4" w:space="0" w:color="DDDDDD"/>
            </w:tcBorders>
            <w:shd w:val="clear" w:color="auto" w:fill="FFFFFF"/>
          </w:tcPr>
          <w:p w14:paraId="2C9DB411" w14:textId="77777777" w:rsidR="00B57D7C" w:rsidRDefault="00000000">
            <w:pPr>
              <w:ind w:left="80"/>
            </w:pPr>
            <w:r>
              <w:rPr>
                <w:rFonts w:ascii="Calibri" w:hAnsi="Calibri"/>
                <w:color w:val="444444"/>
                <w:sz w:val="18"/>
              </w:rPr>
              <w:t>Weeks–months</w:t>
            </w:r>
          </w:p>
        </w:tc>
        <w:tc>
          <w:tcPr>
            <w:tcW w:w="2160" w:type="dxa"/>
            <w:tcBorders>
              <w:top w:val="single" w:sz="4" w:space="0" w:color="DDDDDD"/>
              <w:left w:val="single" w:sz="4" w:space="0" w:color="DDDDDD"/>
              <w:bottom w:val="single" w:sz="4" w:space="0" w:color="DDDDDD"/>
              <w:right w:val="single" w:sz="4" w:space="0" w:color="DDDDDD"/>
            </w:tcBorders>
            <w:shd w:val="clear" w:color="auto" w:fill="FFFFFF"/>
          </w:tcPr>
          <w:p w14:paraId="3911AA05" w14:textId="77777777" w:rsidR="00B57D7C" w:rsidRDefault="00000000">
            <w:pPr>
              <w:ind w:left="80"/>
            </w:pPr>
            <w:r>
              <w:rPr>
                <w:rFonts w:ascii="Calibri" w:hAnsi="Calibri"/>
                <w:color w:val="444444"/>
                <w:sz w:val="18"/>
              </w:rPr>
              <w:t>30 days</w:t>
            </w:r>
          </w:p>
        </w:tc>
        <w:tc>
          <w:tcPr>
            <w:tcW w:w="3600" w:type="dxa"/>
            <w:tcBorders>
              <w:top w:val="single" w:sz="4" w:space="0" w:color="DDDDDD"/>
              <w:left w:val="single" w:sz="4" w:space="0" w:color="DDDDDD"/>
              <w:bottom w:val="single" w:sz="4" w:space="0" w:color="DDDDDD"/>
              <w:right w:val="single" w:sz="4" w:space="0" w:color="DDDDDD"/>
            </w:tcBorders>
            <w:shd w:val="clear" w:color="auto" w:fill="FFFFFF"/>
          </w:tcPr>
          <w:p w14:paraId="75B46458" w14:textId="77777777" w:rsidR="00B57D7C" w:rsidRDefault="00000000">
            <w:pPr>
              <w:ind w:left="80"/>
            </w:pPr>
            <w:r>
              <w:rPr>
                <w:rFonts w:ascii="Calibri" w:hAnsi="Calibri"/>
                <w:color w:val="444444"/>
                <w:sz w:val="18"/>
              </w:rPr>
              <w:t>Congressional cluster, policy shift, structural re-rating.</w:t>
            </w:r>
          </w:p>
        </w:tc>
      </w:tr>
    </w:tbl>
    <w:p w14:paraId="0A5B8740" w14:textId="77777777" w:rsidR="00B57D7C" w:rsidRDefault="00B57D7C"/>
    <w:p w14:paraId="74605D24" w14:textId="77777777" w:rsidR="00B57D7C" w:rsidRDefault="00000000">
      <w:pPr>
        <w:pBdr>
          <w:bottom w:val="single" w:sz="6" w:space="1" w:color="FF6B00"/>
        </w:pBdr>
        <w:spacing w:before="360" w:after="80"/>
      </w:pPr>
      <w:r>
        <w:rPr>
          <w:rFonts w:ascii="Calibri" w:hAnsi="Calibri"/>
          <w:b/>
          <w:color w:val="FF6B00"/>
          <w:sz w:val="32"/>
        </w:rPr>
        <w:t>4. THE SELF-LEARNING FEEDBACK LOOP</w:t>
      </w:r>
    </w:p>
    <w:p w14:paraId="2FE22571" w14:textId="77777777" w:rsidR="00B57D7C" w:rsidRDefault="00000000">
      <w:pPr>
        <w:spacing w:before="40" w:after="80"/>
      </w:pPr>
      <w:r>
        <w:rPr>
          <w:rFonts w:ascii="Calibri" w:hAnsi="Calibri"/>
          <w:color w:val="444444"/>
          <w:sz w:val="20"/>
        </w:rPr>
        <w:t>This is the core innovation of the current build. The system does not just trade — it tracks every verdict, resolves outcomes against the real portfolio, and feeds that performance history back into the agents on the next sweep. Over time, the council self-calibrates without retraining any model.</w:t>
      </w:r>
    </w:p>
    <w:p w14:paraId="11C3212B" w14:textId="77777777" w:rsidR="00B57D7C" w:rsidRDefault="00000000">
      <w:pPr>
        <w:spacing w:before="160" w:after="40"/>
      </w:pPr>
      <w:r>
        <w:rPr>
          <w:rFonts w:ascii="Calibri" w:hAnsi="Calibri"/>
          <w:b/>
          <w:color w:val="1A1A1A"/>
        </w:rPr>
        <w:t>Phase 1 — Decision Logger</w:t>
      </w:r>
    </w:p>
    <w:tbl>
      <w:tblPr>
        <w:tblStyle w:val="TableGrid"/>
        <w:tblW w:w="0" w:type="auto"/>
        <w:tblLook w:val="04A0" w:firstRow="1" w:lastRow="0" w:firstColumn="1" w:lastColumn="0" w:noHBand="0" w:noVBand="1"/>
      </w:tblPr>
      <w:tblGrid>
        <w:gridCol w:w="1728"/>
        <w:gridCol w:w="7632"/>
      </w:tblGrid>
      <w:tr w:rsidR="00B57D7C" w14:paraId="5AC41A24" w14:textId="77777777">
        <w:tc>
          <w:tcPr>
            <w:tcW w:w="1728" w:type="dxa"/>
            <w:tcBorders>
              <w:top w:val="single" w:sz="4" w:space="0" w:color="DDDDDD"/>
              <w:left w:val="single" w:sz="4" w:space="0" w:color="DDDDDD"/>
              <w:bottom w:val="single" w:sz="4" w:space="0" w:color="DDDDDD"/>
              <w:right w:val="single" w:sz="4" w:space="0" w:color="DDDDDD"/>
            </w:tcBorders>
            <w:shd w:val="clear" w:color="auto" w:fill="F5F5F5"/>
            <w:vAlign w:val="center"/>
          </w:tcPr>
          <w:p w14:paraId="05DC1C2E" w14:textId="77777777" w:rsidR="00B57D7C" w:rsidRDefault="00000000">
            <w:pPr>
              <w:ind w:left="120"/>
            </w:pPr>
            <w:r>
              <w:rPr>
                <w:rFonts w:ascii="Calibri" w:hAnsi="Calibri"/>
                <w:b/>
                <w:color w:val="1A1A1A"/>
                <w:sz w:val="18"/>
              </w:rPr>
              <w:t>File</w:t>
            </w:r>
          </w:p>
        </w:tc>
        <w:tc>
          <w:tcPr>
            <w:tcW w:w="7632" w:type="dxa"/>
            <w:tcBorders>
              <w:top w:val="single" w:sz="4" w:space="0" w:color="DDDDDD"/>
              <w:left w:val="single" w:sz="4" w:space="0" w:color="DDDDDD"/>
              <w:bottom w:val="single" w:sz="4" w:space="0" w:color="DDDDDD"/>
              <w:right w:val="single" w:sz="4" w:space="0" w:color="DDDDDD"/>
            </w:tcBorders>
            <w:vAlign w:val="center"/>
          </w:tcPr>
          <w:p w14:paraId="6831D4F8" w14:textId="77777777" w:rsidR="00B57D7C" w:rsidRDefault="00000000">
            <w:pPr>
              <w:ind w:left="120"/>
            </w:pPr>
            <w:r>
              <w:rPr>
                <w:rFonts w:ascii="Calibri" w:hAnsi="Calibri"/>
                <w:color w:val="444444"/>
                <w:sz w:val="18"/>
              </w:rPr>
              <w:t>decisionLogger.mjs</w:t>
            </w:r>
          </w:p>
        </w:tc>
      </w:tr>
      <w:tr w:rsidR="00B57D7C" w14:paraId="21A13C8B" w14:textId="77777777">
        <w:tc>
          <w:tcPr>
            <w:tcW w:w="1728" w:type="dxa"/>
            <w:tcBorders>
              <w:top w:val="single" w:sz="4" w:space="0" w:color="DDDDDD"/>
              <w:left w:val="single" w:sz="4" w:space="0" w:color="DDDDDD"/>
              <w:bottom w:val="single" w:sz="4" w:space="0" w:color="DDDDDD"/>
              <w:right w:val="single" w:sz="4" w:space="0" w:color="DDDDDD"/>
            </w:tcBorders>
            <w:shd w:val="clear" w:color="auto" w:fill="F5F5F5"/>
            <w:vAlign w:val="center"/>
          </w:tcPr>
          <w:p w14:paraId="302BAE12" w14:textId="77777777" w:rsidR="00B57D7C" w:rsidRDefault="00000000">
            <w:pPr>
              <w:ind w:left="120"/>
            </w:pPr>
            <w:r>
              <w:rPr>
                <w:rFonts w:ascii="Calibri" w:hAnsi="Calibri"/>
                <w:b/>
                <w:color w:val="1A1A1A"/>
                <w:sz w:val="18"/>
              </w:rPr>
              <w:t>Description</w:t>
            </w:r>
          </w:p>
        </w:tc>
        <w:tc>
          <w:tcPr>
            <w:tcW w:w="7632" w:type="dxa"/>
            <w:tcBorders>
              <w:top w:val="single" w:sz="4" w:space="0" w:color="DDDDDD"/>
              <w:left w:val="single" w:sz="4" w:space="0" w:color="DDDDDD"/>
              <w:bottom w:val="single" w:sz="4" w:space="0" w:color="DDDDDD"/>
              <w:right w:val="single" w:sz="4" w:space="0" w:color="DDDDDD"/>
            </w:tcBorders>
            <w:vAlign w:val="center"/>
          </w:tcPr>
          <w:p w14:paraId="16C1BDF6" w14:textId="77777777" w:rsidR="00B57D7C" w:rsidRDefault="00000000">
            <w:pPr>
              <w:ind w:left="120"/>
            </w:pPr>
            <w:r>
              <w:rPr>
                <w:rFonts w:ascii="Calibri" w:hAnsi="Calibri"/>
                <w:color w:val="444444"/>
                <w:sz w:val="18"/>
              </w:rPr>
              <w:t>Every Gregor verdict is appended to runs/decisions.json with the full signal context: ticker, action, horizon, signal score, congressional signal type, live VIX, entry price, and evaluationDue deadline. This is the raw data record.</w:t>
            </w:r>
          </w:p>
        </w:tc>
      </w:tr>
    </w:tbl>
    <w:p w14:paraId="419C607C" w14:textId="77777777" w:rsidR="00B57D7C" w:rsidRDefault="00B57D7C"/>
    <w:p w14:paraId="272E5389" w14:textId="77777777" w:rsidR="00B57D7C" w:rsidRDefault="00000000">
      <w:pPr>
        <w:spacing w:before="160" w:after="40"/>
      </w:pPr>
      <w:r>
        <w:rPr>
          <w:rFonts w:ascii="Calibri" w:hAnsi="Calibri"/>
          <w:b/>
          <w:color w:val="1A1A1A"/>
        </w:rPr>
        <w:t>Phase 2 — Position Resolver</w:t>
      </w:r>
    </w:p>
    <w:tbl>
      <w:tblPr>
        <w:tblStyle w:val="TableGrid"/>
        <w:tblW w:w="0" w:type="auto"/>
        <w:tblLook w:val="04A0" w:firstRow="1" w:lastRow="0" w:firstColumn="1" w:lastColumn="0" w:noHBand="0" w:noVBand="1"/>
      </w:tblPr>
      <w:tblGrid>
        <w:gridCol w:w="1728"/>
        <w:gridCol w:w="7632"/>
      </w:tblGrid>
      <w:tr w:rsidR="00B57D7C" w14:paraId="3D4A8A9B" w14:textId="77777777">
        <w:tc>
          <w:tcPr>
            <w:tcW w:w="1728" w:type="dxa"/>
            <w:tcBorders>
              <w:top w:val="single" w:sz="4" w:space="0" w:color="DDDDDD"/>
              <w:left w:val="single" w:sz="4" w:space="0" w:color="DDDDDD"/>
              <w:bottom w:val="single" w:sz="4" w:space="0" w:color="DDDDDD"/>
              <w:right w:val="single" w:sz="4" w:space="0" w:color="DDDDDD"/>
            </w:tcBorders>
            <w:shd w:val="clear" w:color="auto" w:fill="F5F5F5"/>
            <w:vAlign w:val="center"/>
          </w:tcPr>
          <w:p w14:paraId="3747641F" w14:textId="77777777" w:rsidR="00B57D7C" w:rsidRDefault="00000000">
            <w:pPr>
              <w:ind w:left="120"/>
            </w:pPr>
            <w:r>
              <w:rPr>
                <w:rFonts w:ascii="Calibri" w:hAnsi="Calibri"/>
                <w:b/>
                <w:color w:val="1A1A1A"/>
                <w:sz w:val="18"/>
              </w:rPr>
              <w:t>File</w:t>
            </w:r>
          </w:p>
        </w:tc>
        <w:tc>
          <w:tcPr>
            <w:tcW w:w="7632" w:type="dxa"/>
            <w:tcBorders>
              <w:top w:val="single" w:sz="4" w:space="0" w:color="DDDDDD"/>
              <w:left w:val="single" w:sz="4" w:space="0" w:color="DDDDDD"/>
              <w:bottom w:val="single" w:sz="4" w:space="0" w:color="DDDDDD"/>
              <w:right w:val="single" w:sz="4" w:space="0" w:color="DDDDDD"/>
            </w:tcBorders>
            <w:vAlign w:val="center"/>
          </w:tcPr>
          <w:p w14:paraId="48D8B953" w14:textId="77777777" w:rsidR="00B57D7C" w:rsidRDefault="00000000">
            <w:pPr>
              <w:ind w:left="120"/>
            </w:pPr>
            <w:r>
              <w:rPr>
                <w:rFonts w:ascii="Calibri" w:hAnsi="Calibri"/>
                <w:color w:val="444444"/>
                <w:sz w:val="18"/>
              </w:rPr>
              <w:t>positionResolver.mjs</w:t>
            </w:r>
          </w:p>
        </w:tc>
      </w:tr>
      <w:tr w:rsidR="00B57D7C" w14:paraId="4E66B5FD" w14:textId="77777777">
        <w:tc>
          <w:tcPr>
            <w:tcW w:w="1728" w:type="dxa"/>
            <w:tcBorders>
              <w:top w:val="single" w:sz="4" w:space="0" w:color="DDDDDD"/>
              <w:left w:val="single" w:sz="4" w:space="0" w:color="DDDDDD"/>
              <w:bottom w:val="single" w:sz="4" w:space="0" w:color="DDDDDD"/>
              <w:right w:val="single" w:sz="4" w:space="0" w:color="DDDDDD"/>
            </w:tcBorders>
            <w:shd w:val="clear" w:color="auto" w:fill="F5F5F5"/>
            <w:vAlign w:val="center"/>
          </w:tcPr>
          <w:p w14:paraId="6FB433E6" w14:textId="77777777" w:rsidR="00B57D7C" w:rsidRDefault="00000000">
            <w:pPr>
              <w:ind w:left="120"/>
            </w:pPr>
            <w:r>
              <w:rPr>
                <w:rFonts w:ascii="Calibri" w:hAnsi="Calibri"/>
                <w:b/>
                <w:color w:val="1A1A1A"/>
                <w:sz w:val="18"/>
              </w:rPr>
              <w:t>Description</w:t>
            </w:r>
          </w:p>
        </w:tc>
        <w:tc>
          <w:tcPr>
            <w:tcW w:w="7632" w:type="dxa"/>
            <w:tcBorders>
              <w:top w:val="single" w:sz="4" w:space="0" w:color="DDDDDD"/>
              <w:left w:val="single" w:sz="4" w:space="0" w:color="DDDDDD"/>
              <w:bottom w:val="single" w:sz="4" w:space="0" w:color="DDDDDD"/>
              <w:right w:val="single" w:sz="4" w:space="0" w:color="DDDDDD"/>
            </w:tcBorders>
            <w:vAlign w:val="center"/>
          </w:tcPr>
          <w:p w14:paraId="6F37E55B" w14:textId="77777777" w:rsidR="00B57D7C" w:rsidRDefault="00000000">
            <w:pPr>
              <w:ind w:left="120"/>
            </w:pPr>
            <w:r>
              <w:rPr>
                <w:rFonts w:ascii="Calibri" w:hAnsi="Calibri"/>
                <w:color w:val="444444"/>
                <w:sz w:val="18"/>
              </w:rPr>
              <w:t>Runs daily at 4:30 PM ET. Compares every open decision against the live SnapTrade portfolio. If the position is gone, it fetches the exit price and marks win/loss/breakeven. If still held, it patches in current unrealized P&amp;L. Overdue positions (past evaluationDue) are force-resolved at the current market price.</w:t>
            </w:r>
          </w:p>
        </w:tc>
      </w:tr>
    </w:tbl>
    <w:p w14:paraId="55609455" w14:textId="77777777" w:rsidR="00B57D7C" w:rsidRDefault="00B57D7C"/>
    <w:p w14:paraId="75277085" w14:textId="77777777" w:rsidR="00B57D7C" w:rsidRDefault="00000000">
      <w:pPr>
        <w:spacing w:before="160" w:after="40"/>
      </w:pPr>
      <w:r>
        <w:rPr>
          <w:rFonts w:ascii="Calibri" w:hAnsi="Calibri"/>
          <w:b/>
          <w:color w:val="1A1A1A"/>
        </w:rPr>
        <w:t>Phase 3 — Review Council</w:t>
      </w:r>
    </w:p>
    <w:tbl>
      <w:tblPr>
        <w:tblStyle w:val="TableGrid"/>
        <w:tblW w:w="0" w:type="auto"/>
        <w:tblLook w:val="04A0" w:firstRow="1" w:lastRow="0" w:firstColumn="1" w:lastColumn="0" w:noHBand="0" w:noVBand="1"/>
      </w:tblPr>
      <w:tblGrid>
        <w:gridCol w:w="1728"/>
        <w:gridCol w:w="7632"/>
      </w:tblGrid>
      <w:tr w:rsidR="00B57D7C" w14:paraId="043BCC13" w14:textId="77777777">
        <w:tc>
          <w:tcPr>
            <w:tcW w:w="1728" w:type="dxa"/>
            <w:tcBorders>
              <w:top w:val="single" w:sz="4" w:space="0" w:color="DDDDDD"/>
              <w:left w:val="single" w:sz="4" w:space="0" w:color="DDDDDD"/>
              <w:bottom w:val="single" w:sz="4" w:space="0" w:color="DDDDDD"/>
              <w:right w:val="single" w:sz="4" w:space="0" w:color="DDDDDD"/>
            </w:tcBorders>
            <w:shd w:val="clear" w:color="auto" w:fill="F5F5F5"/>
            <w:vAlign w:val="center"/>
          </w:tcPr>
          <w:p w14:paraId="051490E3" w14:textId="77777777" w:rsidR="00B57D7C" w:rsidRDefault="00000000">
            <w:pPr>
              <w:ind w:left="120"/>
            </w:pPr>
            <w:r>
              <w:rPr>
                <w:rFonts w:ascii="Calibri" w:hAnsi="Calibri"/>
                <w:b/>
                <w:color w:val="1A1A1A"/>
                <w:sz w:val="18"/>
              </w:rPr>
              <w:t>File</w:t>
            </w:r>
          </w:p>
        </w:tc>
        <w:tc>
          <w:tcPr>
            <w:tcW w:w="7632" w:type="dxa"/>
            <w:tcBorders>
              <w:top w:val="single" w:sz="4" w:space="0" w:color="DDDDDD"/>
              <w:left w:val="single" w:sz="4" w:space="0" w:color="DDDDDD"/>
              <w:bottom w:val="single" w:sz="4" w:space="0" w:color="DDDDDD"/>
              <w:right w:val="single" w:sz="4" w:space="0" w:color="DDDDDD"/>
            </w:tcBorders>
            <w:vAlign w:val="center"/>
          </w:tcPr>
          <w:p w14:paraId="0106FD9B" w14:textId="77777777" w:rsidR="00B57D7C" w:rsidRDefault="00000000">
            <w:pPr>
              <w:ind w:left="120"/>
            </w:pPr>
            <w:r>
              <w:rPr>
                <w:rFonts w:ascii="Calibri" w:hAnsi="Calibri"/>
                <w:color w:val="444444"/>
                <w:sz w:val="18"/>
              </w:rPr>
              <w:t>reviewCouncil.mjs</w:t>
            </w:r>
          </w:p>
        </w:tc>
      </w:tr>
      <w:tr w:rsidR="00B57D7C" w14:paraId="48E8B6B0" w14:textId="77777777">
        <w:tc>
          <w:tcPr>
            <w:tcW w:w="1728" w:type="dxa"/>
            <w:tcBorders>
              <w:top w:val="single" w:sz="4" w:space="0" w:color="DDDDDD"/>
              <w:left w:val="single" w:sz="4" w:space="0" w:color="DDDDDD"/>
              <w:bottom w:val="single" w:sz="4" w:space="0" w:color="DDDDDD"/>
              <w:right w:val="single" w:sz="4" w:space="0" w:color="DDDDDD"/>
            </w:tcBorders>
            <w:shd w:val="clear" w:color="auto" w:fill="F5F5F5"/>
            <w:vAlign w:val="center"/>
          </w:tcPr>
          <w:p w14:paraId="0510A131" w14:textId="77777777" w:rsidR="00B57D7C" w:rsidRDefault="00000000">
            <w:pPr>
              <w:ind w:left="120"/>
            </w:pPr>
            <w:r>
              <w:rPr>
                <w:rFonts w:ascii="Calibri" w:hAnsi="Calibri"/>
                <w:b/>
                <w:color w:val="1A1A1A"/>
                <w:sz w:val="18"/>
              </w:rPr>
              <w:t>Description</w:t>
            </w:r>
          </w:p>
        </w:tc>
        <w:tc>
          <w:tcPr>
            <w:tcW w:w="7632" w:type="dxa"/>
            <w:tcBorders>
              <w:top w:val="single" w:sz="4" w:space="0" w:color="DDDDDD"/>
              <w:left w:val="single" w:sz="4" w:space="0" w:color="DDDDDD"/>
              <w:bottom w:val="single" w:sz="4" w:space="0" w:color="DDDDDD"/>
              <w:right w:val="single" w:sz="4" w:space="0" w:color="DDDDDD"/>
            </w:tcBorders>
            <w:vAlign w:val="center"/>
          </w:tcPr>
          <w:p w14:paraId="6A047AD2" w14:textId="77777777" w:rsidR="00B57D7C" w:rsidRDefault="00000000">
            <w:pPr>
              <w:ind w:left="120"/>
            </w:pPr>
            <w:r>
              <w:rPr>
                <w:rFonts w:ascii="Calibri" w:hAnsi="Calibri"/>
                <w:color w:val="444444"/>
                <w:sz w:val="18"/>
              </w:rPr>
              <w:t>After the resolver runs, the Review Council computes structured performance stats: win rate, profit factor, average win/loss %, breakdown by horizon, breakdown by signal type (congressional cluster vs none, high VIX, high signal score). Writes runs/lastReview.json — the machine-readable council context. Also triggers generation of the HTML + Word report for the dashboard with deduplication (only regenerates if new resolved decisions exist).</w:t>
            </w:r>
          </w:p>
        </w:tc>
      </w:tr>
    </w:tbl>
    <w:p w14:paraId="22B551A2" w14:textId="77777777" w:rsidR="00B57D7C" w:rsidRDefault="00B57D7C"/>
    <w:p w14:paraId="21098992" w14:textId="77777777" w:rsidR="00B57D7C" w:rsidRDefault="00000000">
      <w:pPr>
        <w:spacing w:before="160" w:after="40"/>
      </w:pPr>
      <w:r>
        <w:rPr>
          <w:rFonts w:ascii="Calibri" w:hAnsi="Calibri"/>
          <w:b/>
          <w:color w:val="1A1A1A"/>
        </w:rPr>
        <w:t>Phase 4 — Context Injection</w:t>
      </w:r>
    </w:p>
    <w:tbl>
      <w:tblPr>
        <w:tblStyle w:val="TableGrid"/>
        <w:tblW w:w="0" w:type="auto"/>
        <w:tblLook w:val="04A0" w:firstRow="1" w:lastRow="0" w:firstColumn="1" w:lastColumn="0" w:noHBand="0" w:noVBand="1"/>
      </w:tblPr>
      <w:tblGrid>
        <w:gridCol w:w="1728"/>
        <w:gridCol w:w="7632"/>
      </w:tblGrid>
      <w:tr w:rsidR="00B57D7C" w14:paraId="518D0CE7" w14:textId="77777777">
        <w:tc>
          <w:tcPr>
            <w:tcW w:w="1728" w:type="dxa"/>
            <w:tcBorders>
              <w:top w:val="single" w:sz="4" w:space="0" w:color="DDDDDD"/>
              <w:left w:val="single" w:sz="4" w:space="0" w:color="DDDDDD"/>
              <w:bottom w:val="single" w:sz="4" w:space="0" w:color="DDDDDD"/>
              <w:right w:val="single" w:sz="4" w:space="0" w:color="DDDDDD"/>
            </w:tcBorders>
            <w:shd w:val="clear" w:color="auto" w:fill="F5F5F5"/>
            <w:vAlign w:val="center"/>
          </w:tcPr>
          <w:p w14:paraId="05EF7817" w14:textId="77777777" w:rsidR="00B57D7C" w:rsidRDefault="00000000">
            <w:pPr>
              <w:ind w:left="120"/>
            </w:pPr>
            <w:r>
              <w:rPr>
                <w:rFonts w:ascii="Calibri" w:hAnsi="Calibri"/>
                <w:b/>
                <w:color w:val="1A1A1A"/>
                <w:sz w:val="18"/>
              </w:rPr>
              <w:t>File</w:t>
            </w:r>
          </w:p>
        </w:tc>
        <w:tc>
          <w:tcPr>
            <w:tcW w:w="7632" w:type="dxa"/>
            <w:tcBorders>
              <w:top w:val="single" w:sz="4" w:space="0" w:color="DDDDDD"/>
              <w:left w:val="single" w:sz="4" w:space="0" w:color="DDDDDD"/>
              <w:bottom w:val="single" w:sz="4" w:space="0" w:color="DDDDDD"/>
              <w:right w:val="single" w:sz="4" w:space="0" w:color="DDDDDD"/>
            </w:tcBorders>
            <w:vAlign w:val="center"/>
          </w:tcPr>
          <w:p w14:paraId="4EDEB9DC" w14:textId="77777777" w:rsidR="00B57D7C" w:rsidRDefault="00000000">
            <w:pPr>
              <w:ind w:left="120"/>
            </w:pPr>
            <w:r>
              <w:rPr>
                <w:rFonts w:ascii="Calibri" w:hAnsi="Calibri"/>
                <w:color w:val="444444"/>
                <w:sz w:val="18"/>
              </w:rPr>
              <w:t>scout.mjs + omega.mjs</w:t>
            </w:r>
          </w:p>
        </w:tc>
      </w:tr>
      <w:tr w:rsidR="00B57D7C" w14:paraId="60616609" w14:textId="77777777">
        <w:tc>
          <w:tcPr>
            <w:tcW w:w="1728" w:type="dxa"/>
            <w:tcBorders>
              <w:top w:val="single" w:sz="4" w:space="0" w:color="DDDDDD"/>
              <w:left w:val="single" w:sz="4" w:space="0" w:color="DDDDDD"/>
              <w:bottom w:val="single" w:sz="4" w:space="0" w:color="DDDDDD"/>
              <w:right w:val="single" w:sz="4" w:space="0" w:color="DDDDDD"/>
            </w:tcBorders>
            <w:shd w:val="clear" w:color="auto" w:fill="F5F5F5"/>
            <w:vAlign w:val="center"/>
          </w:tcPr>
          <w:p w14:paraId="2B34EDE9" w14:textId="77777777" w:rsidR="00B57D7C" w:rsidRDefault="00000000">
            <w:pPr>
              <w:ind w:left="120"/>
            </w:pPr>
            <w:r>
              <w:rPr>
                <w:rFonts w:ascii="Calibri" w:hAnsi="Calibri"/>
                <w:b/>
                <w:color w:val="1A1A1A"/>
                <w:sz w:val="18"/>
              </w:rPr>
              <w:t>Description</w:t>
            </w:r>
          </w:p>
        </w:tc>
        <w:tc>
          <w:tcPr>
            <w:tcW w:w="7632" w:type="dxa"/>
            <w:tcBorders>
              <w:top w:val="single" w:sz="4" w:space="0" w:color="DDDDDD"/>
              <w:left w:val="single" w:sz="4" w:space="0" w:color="DDDDDD"/>
              <w:bottom w:val="single" w:sz="4" w:space="0" w:color="DDDDDD"/>
              <w:right w:val="single" w:sz="4" w:space="0" w:color="DDDDDD"/>
            </w:tcBorders>
            <w:vAlign w:val="center"/>
          </w:tcPr>
          <w:p w14:paraId="2897BE04" w14:textId="77777777" w:rsidR="00B57D7C" w:rsidRDefault="00000000">
            <w:pPr>
              <w:ind w:left="120"/>
            </w:pPr>
            <w:r>
              <w:rPr>
                <w:rFonts w:ascii="Calibri" w:hAnsi="Calibri"/>
                <w:color w:val="444444"/>
                <w:sz w:val="18"/>
              </w:rPr>
              <w:t>On every subsequent sweep, Scout reads lastReview.json and receives a SECTION P block showing win rates by horizon with PREFERRED / CAUTION / NEUTRAL flags. It uses this to self-calibrate which horizon to recommend. Gregor receives a sizing modifier block: horizons performing at 65%+ win rate get +15% size; underperforming horizons get -30% size; confirmed congressional cluster at 70%+ win rate unlocks an additional +20% scaling.</w:t>
            </w:r>
          </w:p>
        </w:tc>
      </w:tr>
    </w:tbl>
    <w:p w14:paraId="13944528" w14:textId="77777777" w:rsidR="00B57D7C" w:rsidRDefault="00B57D7C"/>
    <w:p w14:paraId="3A2DD9DC" w14:textId="77777777" w:rsidR="00B57D7C" w:rsidRDefault="00000000">
      <w:pPr>
        <w:pBdr>
          <w:bottom w:val="single" w:sz="6" w:space="1" w:color="FF6B00"/>
        </w:pBdr>
        <w:spacing w:before="360" w:after="80"/>
      </w:pPr>
      <w:r>
        <w:rPr>
          <w:rFonts w:ascii="Calibri" w:hAnsi="Calibri"/>
          <w:b/>
          <w:color w:val="FF6B00"/>
          <w:sz w:val="32"/>
        </w:rPr>
        <w:lastRenderedPageBreak/>
        <w:t>5. DATA FLOW — END TO END</w:t>
      </w:r>
    </w:p>
    <w:p w14:paraId="0C0BADF5" w14:textId="77777777" w:rsidR="00B57D7C" w:rsidRDefault="00000000">
      <w:pPr>
        <w:spacing w:before="40" w:after="80"/>
      </w:pPr>
      <w:r>
        <w:rPr>
          <w:rFonts w:ascii="Calibri" w:hAnsi="Calibri"/>
          <w:color w:val="444444"/>
          <w:sz w:val="20"/>
        </w:rPr>
        <w:t>Every 10-minute sweep follows this chain:</w:t>
      </w:r>
    </w:p>
    <w:p w14:paraId="371D4C19" w14:textId="77777777" w:rsidR="00B57D7C" w:rsidRDefault="00000000">
      <w:pPr>
        <w:spacing w:before="40" w:after="40"/>
      </w:pPr>
      <w:r>
        <w:rPr>
          <w:rFonts w:ascii="Calibri" w:hAnsi="Calibri"/>
          <w:b/>
          <w:color w:val="FF6B00"/>
          <w:sz w:val="20"/>
        </w:rPr>
        <w:t xml:space="preserve">  1.  </w:t>
      </w:r>
      <w:r>
        <w:rPr>
          <w:rFonts w:ascii="Calibri" w:hAnsi="Calibri"/>
          <w:color w:val="444444"/>
          <w:sz w:val="20"/>
        </w:rPr>
        <w:t>APIs ingest live data: news (Alpaca), VIX (FRED), congressional trades (FMP — cached 4h, max ~12 calls/day), portfolio (SnapTrade).</w:t>
      </w:r>
    </w:p>
    <w:p w14:paraId="79FD287B" w14:textId="77777777" w:rsidR="00B57D7C" w:rsidRDefault="00000000">
      <w:pPr>
        <w:spacing w:before="40" w:after="40"/>
      </w:pPr>
      <w:r>
        <w:rPr>
          <w:rFonts w:ascii="Calibri" w:hAnsi="Calibri"/>
          <w:b/>
          <w:color w:val="FF6B00"/>
          <w:sz w:val="20"/>
        </w:rPr>
        <w:t xml:space="preserve">  2.  </w:t>
      </w:r>
      <w:r>
        <w:rPr>
          <w:rFonts w:ascii="Calibri" w:hAnsi="Calibri"/>
          <w:color w:val="444444"/>
          <w:sz w:val="20"/>
        </w:rPr>
        <w:t>Scout selects one setup, classifies horizon, enriches with live price + RSI, outputs a structured escalation or QUIET.</w:t>
      </w:r>
    </w:p>
    <w:p w14:paraId="0006E8E1" w14:textId="77777777" w:rsidR="00B57D7C" w:rsidRDefault="00000000">
      <w:pPr>
        <w:spacing w:before="40" w:after="40"/>
      </w:pPr>
      <w:r>
        <w:rPr>
          <w:rFonts w:ascii="Calibri" w:hAnsi="Calibri"/>
          <w:b/>
          <w:color w:val="FF6B00"/>
          <w:sz w:val="20"/>
        </w:rPr>
        <w:t xml:space="preserve">  3.  </w:t>
      </w:r>
      <w:r>
        <w:rPr>
          <w:rFonts w:ascii="Calibri" w:hAnsi="Calibri"/>
          <w:color w:val="444444"/>
          <w:sz w:val="20"/>
        </w:rPr>
        <w:t>Phi argues the bull case. Theta argues the bear case. Both read Scout's output.</w:t>
      </w:r>
    </w:p>
    <w:p w14:paraId="2420AC53" w14:textId="77777777" w:rsidR="00B57D7C" w:rsidRDefault="00000000">
      <w:pPr>
        <w:spacing w:before="40" w:after="40"/>
      </w:pPr>
      <w:r>
        <w:rPr>
          <w:rFonts w:ascii="Calibri" w:hAnsi="Calibri"/>
          <w:b/>
          <w:color w:val="FF6B00"/>
          <w:sz w:val="20"/>
        </w:rPr>
        <w:t xml:space="preserve">  4.  </w:t>
      </w:r>
      <w:r>
        <w:rPr>
          <w:rFonts w:ascii="Calibri" w:hAnsi="Calibri"/>
          <w:color w:val="444444"/>
          <w:sz w:val="20"/>
        </w:rPr>
        <w:t>Gregor synthesizes the debate, reads account state (buying power, PDT remaining, open orders), applies lastReview sizing modifiers, and outputs a JSON verdict.</w:t>
      </w:r>
    </w:p>
    <w:p w14:paraId="147FA28E" w14:textId="77777777" w:rsidR="00B57D7C" w:rsidRDefault="00000000">
      <w:pPr>
        <w:spacing w:before="40" w:after="40"/>
      </w:pPr>
      <w:r>
        <w:rPr>
          <w:rFonts w:ascii="Calibri" w:hAnsi="Calibri"/>
          <w:b/>
          <w:color w:val="FF6B00"/>
          <w:sz w:val="20"/>
        </w:rPr>
        <w:t xml:space="preserve">  5.  </w:t>
      </w:r>
      <w:r>
        <w:rPr>
          <w:rFonts w:ascii="Calibri" w:hAnsi="Calibri"/>
          <w:color w:val="444444"/>
          <w:sz w:val="20"/>
        </w:rPr>
        <w:t>debate.mjs parses the JSON, submits the order to SnapTrade, and logs the decision to decisions.json.</w:t>
      </w:r>
    </w:p>
    <w:p w14:paraId="7F8BDDC0" w14:textId="77777777" w:rsidR="00B57D7C" w:rsidRDefault="00000000">
      <w:pPr>
        <w:spacing w:before="40" w:after="40"/>
      </w:pPr>
      <w:r>
        <w:rPr>
          <w:rFonts w:ascii="Calibri" w:hAnsi="Calibri"/>
          <w:b/>
          <w:color w:val="FF6B00"/>
          <w:sz w:val="20"/>
        </w:rPr>
        <w:t xml:space="preserve">  6.  </w:t>
      </w:r>
      <w:r>
        <w:rPr>
          <w:rFonts w:ascii="Calibri" w:hAnsi="Calibri"/>
          <w:color w:val="444444"/>
          <w:sz w:val="20"/>
        </w:rPr>
        <w:t>[PARALLEL — every 90s] stopLossWatcher checks every open decision against live prices. Fires market SELL on stop-loss, trailing stop, or INTRADAY EOD breach. Resolves the decision and sends Telegram alert.</w:t>
      </w:r>
    </w:p>
    <w:p w14:paraId="33C7097C" w14:textId="77777777" w:rsidR="00B57D7C" w:rsidRDefault="00000000">
      <w:pPr>
        <w:spacing w:before="40" w:after="40"/>
      </w:pPr>
      <w:r>
        <w:rPr>
          <w:rFonts w:ascii="Calibri" w:hAnsi="Calibri"/>
          <w:b/>
          <w:color w:val="FF6B00"/>
          <w:sz w:val="20"/>
        </w:rPr>
        <w:t xml:space="preserve">  7.  </w:t>
      </w:r>
      <w:r>
        <w:rPr>
          <w:rFonts w:ascii="Calibri" w:hAnsi="Calibri"/>
          <w:color w:val="444444"/>
          <w:sz w:val="20"/>
        </w:rPr>
        <w:t>At 4:30 PM ET: positionResolver reconciles remaining open decisions. reviewCouncil computes stats, writes lastReview.json and the dashboard report.</w:t>
      </w:r>
    </w:p>
    <w:p w14:paraId="75C3A1E6" w14:textId="77777777" w:rsidR="00B57D7C" w:rsidRDefault="00000000">
      <w:pPr>
        <w:spacing w:before="40" w:after="40"/>
      </w:pPr>
      <w:r>
        <w:rPr>
          <w:rFonts w:ascii="Calibri" w:hAnsi="Calibri"/>
          <w:b/>
          <w:color w:val="FF6B00"/>
          <w:sz w:val="20"/>
        </w:rPr>
        <w:t xml:space="preserve">  8.  </w:t>
      </w:r>
      <w:r>
        <w:rPr>
          <w:rFonts w:ascii="Calibri" w:hAnsi="Calibri"/>
          <w:color w:val="444444"/>
          <w:sz w:val="20"/>
        </w:rPr>
        <w:t>Next sweep: Scout and Gregor read the updated lastReview.json. The loop closes.</w:t>
      </w:r>
    </w:p>
    <w:p w14:paraId="6D26FC2C" w14:textId="77777777" w:rsidR="00B57D7C" w:rsidRDefault="00B57D7C"/>
    <w:p w14:paraId="0BA51B80" w14:textId="77777777" w:rsidR="00B57D7C" w:rsidRDefault="00000000">
      <w:pPr>
        <w:pBdr>
          <w:bottom w:val="single" w:sz="6" w:space="1" w:color="FF6B00"/>
        </w:pBdr>
        <w:spacing w:before="360" w:after="80"/>
      </w:pPr>
      <w:r>
        <w:rPr>
          <w:rFonts w:ascii="Calibri" w:hAnsi="Calibri"/>
          <w:b/>
          <w:color w:val="FF6B00"/>
          <w:sz w:val="32"/>
        </w:rPr>
        <w:t>6. WIN / LOSS CLASSIFICATION — HOW A TRADE IS SCORED</w:t>
      </w:r>
    </w:p>
    <w:p w14:paraId="581CA62F" w14:textId="77777777" w:rsidR="00B57D7C" w:rsidRDefault="00000000">
      <w:pPr>
        <w:spacing w:before="40" w:after="80"/>
      </w:pPr>
      <w:r>
        <w:rPr>
          <w:rFonts w:ascii="Calibri" w:hAnsi="Calibri"/>
          <w:color w:val="444444"/>
          <w:sz w:val="20"/>
        </w:rPr>
        <w:t>When a position closes, the system computes P&amp;L and assigns an outcome label. This outcome is what drives the win rate statistics in the review.</w:t>
      </w:r>
    </w:p>
    <w:tbl>
      <w:tblPr>
        <w:tblStyle w:val="TableGrid"/>
        <w:tblW w:w="0" w:type="auto"/>
        <w:tblLook w:val="04A0" w:firstRow="1" w:lastRow="0" w:firstColumn="1" w:lastColumn="0" w:noHBand="0" w:noVBand="1"/>
      </w:tblPr>
      <w:tblGrid>
        <w:gridCol w:w="2160"/>
        <w:gridCol w:w="2160"/>
        <w:gridCol w:w="5040"/>
      </w:tblGrid>
      <w:tr w:rsidR="00B57D7C" w14:paraId="6CBC3BA9" w14:textId="77777777">
        <w:tc>
          <w:tcPr>
            <w:tcW w:w="2160" w:type="dxa"/>
            <w:tcBorders>
              <w:top w:val="single" w:sz="4" w:space="0" w:color="FF6B00"/>
              <w:left w:val="single" w:sz="4" w:space="0" w:color="FF6B00"/>
              <w:bottom w:val="single" w:sz="4" w:space="0" w:color="FF6B00"/>
              <w:right w:val="single" w:sz="4" w:space="0" w:color="FF6B00"/>
            </w:tcBorders>
            <w:shd w:val="clear" w:color="auto" w:fill="1A1A1A"/>
          </w:tcPr>
          <w:p w14:paraId="5E204B1D" w14:textId="77777777" w:rsidR="00B57D7C" w:rsidRDefault="00000000">
            <w:pPr>
              <w:ind w:left="80"/>
            </w:pPr>
            <w:r>
              <w:rPr>
                <w:rFonts w:ascii="Calibri" w:hAnsi="Calibri"/>
                <w:b/>
                <w:color w:val="FF6B00"/>
                <w:sz w:val="18"/>
              </w:rPr>
              <w:t>OUTCOME</w:t>
            </w:r>
          </w:p>
        </w:tc>
        <w:tc>
          <w:tcPr>
            <w:tcW w:w="2160" w:type="dxa"/>
            <w:tcBorders>
              <w:top w:val="single" w:sz="4" w:space="0" w:color="FF6B00"/>
              <w:left w:val="single" w:sz="4" w:space="0" w:color="FF6B00"/>
              <w:bottom w:val="single" w:sz="4" w:space="0" w:color="FF6B00"/>
              <w:right w:val="single" w:sz="4" w:space="0" w:color="FF6B00"/>
            </w:tcBorders>
            <w:shd w:val="clear" w:color="auto" w:fill="1A1A1A"/>
          </w:tcPr>
          <w:p w14:paraId="17EE82E9" w14:textId="77777777" w:rsidR="00B57D7C" w:rsidRDefault="00000000">
            <w:pPr>
              <w:ind w:left="80"/>
            </w:pPr>
            <w:r>
              <w:rPr>
                <w:rFonts w:ascii="Calibri" w:hAnsi="Calibri"/>
                <w:b/>
                <w:color w:val="FF6B00"/>
                <w:sz w:val="18"/>
              </w:rPr>
              <w:t>THRESHOLD</w:t>
            </w:r>
          </w:p>
        </w:tc>
        <w:tc>
          <w:tcPr>
            <w:tcW w:w="5040" w:type="dxa"/>
            <w:tcBorders>
              <w:top w:val="single" w:sz="4" w:space="0" w:color="FF6B00"/>
              <w:left w:val="single" w:sz="4" w:space="0" w:color="FF6B00"/>
              <w:bottom w:val="single" w:sz="4" w:space="0" w:color="FF6B00"/>
              <w:right w:val="single" w:sz="4" w:space="0" w:color="FF6B00"/>
            </w:tcBorders>
            <w:shd w:val="clear" w:color="auto" w:fill="1A1A1A"/>
          </w:tcPr>
          <w:p w14:paraId="3420E349" w14:textId="77777777" w:rsidR="00B57D7C" w:rsidRDefault="00000000">
            <w:pPr>
              <w:ind w:left="80"/>
            </w:pPr>
            <w:r>
              <w:rPr>
                <w:rFonts w:ascii="Calibri" w:hAnsi="Calibri"/>
                <w:b/>
                <w:color w:val="FF6B00"/>
                <w:sz w:val="18"/>
              </w:rPr>
              <w:t>NOTES</w:t>
            </w:r>
          </w:p>
        </w:tc>
      </w:tr>
      <w:tr w:rsidR="00B57D7C" w14:paraId="029E928D" w14:textId="77777777">
        <w:tc>
          <w:tcPr>
            <w:tcW w:w="2160" w:type="dxa"/>
            <w:tcBorders>
              <w:top w:val="single" w:sz="4" w:space="0" w:color="DDDDDD"/>
              <w:left w:val="single" w:sz="4" w:space="0" w:color="DDDDDD"/>
              <w:bottom w:val="single" w:sz="4" w:space="0" w:color="DDDDDD"/>
              <w:right w:val="single" w:sz="4" w:space="0" w:color="DDDDDD"/>
            </w:tcBorders>
            <w:shd w:val="clear" w:color="auto" w:fill="FFFFFF"/>
          </w:tcPr>
          <w:p w14:paraId="0C49C1ED" w14:textId="77777777" w:rsidR="00B57D7C" w:rsidRDefault="00000000">
            <w:pPr>
              <w:ind w:left="80"/>
            </w:pPr>
            <w:r>
              <w:rPr>
                <w:rFonts w:ascii="Calibri" w:hAnsi="Calibri"/>
                <w:color w:val="00C896"/>
                <w:sz w:val="18"/>
              </w:rPr>
              <w:t>Win</w:t>
            </w:r>
          </w:p>
        </w:tc>
        <w:tc>
          <w:tcPr>
            <w:tcW w:w="2160" w:type="dxa"/>
            <w:tcBorders>
              <w:top w:val="single" w:sz="4" w:space="0" w:color="DDDDDD"/>
              <w:left w:val="single" w:sz="4" w:space="0" w:color="DDDDDD"/>
              <w:bottom w:val="single" w:sz="4" w:space="0" w:color="DDDDDD"/>
              <w:right w:val="single" w:sz="4" w:space="0" w:color="DDDDDD"/>
            </w:tcBorders>
            <w:shd w:val="clear" w:color="auto" w:fill="FFFFFF"/>
          </w:tcPr>
          <w:p w14:paraId="04A15A92" w14:textId="77777777" w:rsidR="00B57D7C" w:rsidRDefault="00000000">
            <w:pPr>
              <w:ind w:left="80"/>
            </w:pPr>
            <w:r>
              <w:rPr>
                <w:rFonts w:ascii="Calibri" w:hAnsi="Calibri"/>
                <w:color w:val="444444"/>
                <w:sz w:val="18"/>
              </w:rPr>
              <w:t>P&amp;L &gt; +0.2%</w:t>
            </w:r>
          </w:p>
        </w:tc>
        <w:tc>
          <w:tcPr>
            <w:tcW w:w="5040" w:type="dxa"/>
            <w:tcBorders>
              <w:top w:val="single" w:sz="4" w:space="0" w:color="DDDDDD"/>
              <w:left w:val="single" w:sz="4" w:space="0" w:color="DDDDDD"/>
              <w:bottom w:val="single" w:sz="4" w:space="0" w:color="DDDDDD"/>
              <w:right w:val="single" w:sz="4" w:space="0" w:color="DDDDDD"/>
            </w:tcBorders>
            <w:shd w:val="clear" w:color="auto" w:fill="FFFFFF"/>
          </w:tcPr>
          <w:p w14:paraId="3D1C52BB" w14:textId="77777777" w:rsidR="00B57D7C" w:rsidRDefault="00000000">
            <w:pPr>
              <w:ind w:left="80"/>
            </w:pPr>
            <w:r>
              <w:rPr>
                <w:rFonts w:ascii="Calibri" w:hAnsi="Calibri"/>
                <w:color w:val="444444"/>
                <w:sz w:val="18"/>
              </w:rPr>
              <w:t>Current threshold. Anything above +0.2% counts as a win.</w:t>
            </w:r>
          </w:p>
        </w:tc>
      </w:tr>
      <w:tr w:rsidR="00B57D7C" w14:paraId="42993F41" w14:textId="77777777">
        <w:tc>
          <w:tcPr>
            <w:tcW w:w="2160" w:type="dxa"/>
            <w:tcBorders>
              <w:top w:val="single" w:sz="4" w:space="0" w:color="DDDDDD"/>
              <w:left w:val="single" w:sz="4" w:space="0" w:color="DDDDDD"/>
              <w:bottom w:val="single" w:sz="4" w:space="0" w:color="DDDDDD"/>
              <w:right w:val="single" w:sz="4" w:space="0" w:color="DDDDDD"/>
            </w:tcBorders>
            <w:shd w:val="clear" w:color="auto" w:fill="F9F9F9"/>
          </w:tcPr>
          <w:p w14:paraId="1868CAB2" w14:textId="77777777" w:rsidR="00B57D7C" w:rsidRDefault="00000000">
            <w:pPr>
              <w:ind w:left="80"/>
            </w:pPr>
            <w:r>
              <w:rPr>
                <w:rFonts w:ascii="Calibri" w:hAnsi="Calibri"/>
                <w:color w:val="FF4444"/>
                <w:sz w:val="18"/>
              </w:rPr>
              <w:t>Loss</w:t>
            </w:r>
          </w:p>
        </w:tc>
        <w:tc>
          <w:tcPr>
            <w:tcW w:w="2160" w:type="dxa"/>
            <w:tcBorders>
              <w:top w:val="single" w:sz="4" w:space="0" w:color="DDDDDD"/>
              <w:left w:val="single" w:sz="4" w:space="0" w:color="DDDDDD"/>
              <w:bottom w:val="single" w:sz="4" w:space="0" w:color="DDDDDD"/>
              <w:right w:val="single" w:sz="4" w:space="0" w:color="DDDDDD"/>
            </w:tcBorders>
            <w:shd w:val="clear" w:color="auto" w:fill="F9F9F9"/>
          </w:tcPr>
          <w:p w14:paraId="0734CD3C" w14:textId="77777777" w:rsidR="00B57D7C" w:rsidRDefault="00000000">
            <w:pPr>
              <w:ind w:left="80"/>
            </w:pPr>
            <w:r>
              <w:rPr>
                <w:rFonts w:ascii="Calibri" w:hAnsi="Calibri"/>
                <w:color w:val="444444"/>
                <w:sz w:val="18"/>
              </w:rPr>
              <w:t>P&amp;L &lt; -0.2%</w:t>
            </w:r>
          </w:p>
        </w:tc>
        <w:tc>
          <w:tcPr>
            <w:tcW w:w="5040" w:type="dxa"/>
            <w:tcBorders>
              <w:top w:val="single" w:sz="4" w:space="0" w:color="DDDDDD"/>
              <w:left w:val="single" w:sz="4" w:space="0" w:color="DDDDDD"/>
              <w:bottom w:val="single" w:sz="4" w:space="0" w:color="DDDDDD"/>
              <w:right w:val="single" w:sz="4" w:space="0" w:color="DDDDDD"/>
            </w:tcBorders>
            <w:shd w:val="clear" w:color="auto" w:fill="F9F9F9"/>
          </w:tcPr>
          <w:p w14:paraId="0FB2349E" w14:textId="77777777" w:rsidR="00B57D7C" w:rsidRDefault="00000000">
            <w:pPr>
              <w:ind w:left="80"/>
            </w:pPr>
            <w:r>
              <w:rPr>
                <w:rFonts w:ascii="Calibri" w:hAnsi="Calibri"/>
                <w:color w:val="444444"/>
                <w:sz w:val="18"/>
              </w:rPr>
              <w:t>Anything below -0.2% counts as a loss.</w:t>
            </w:r>
          </w:p>
        </w:tc>
      </w:tr>
      <w:tr w:rsidR="00B57D7C" w14:paraId="450C90E6" w14:textId="77777777">
        <w:tc>
          <w:tcPr>
            <w:tcW w:w="2160" w:type="dxa"/>
            <w:tcBorders>
              <w:top w:val="single" w:sz="4" w:space="0" w:color="DDDDDD"/>
              <w:left w:val="single" w:sz="4" w:space="0" w:color="DDDDDD"/>
              <w:bottom w:val="single" w:sz="4" w:space="0" w:color="DDDDDD"/>
              <w:right w:val="single" w:sz="4" w:space="0" w:color="DDDDDD"/>
            </w:tcBorders>
            <w:shd w:val="clear" w:color="auto" w:fill="FFFFFF"/>
          </w:tcPr>
          <w:p w14:paraId="0C1C80C0" w14:textId="77777777" w:rsidR="00B57D7C" w:rsidRDefault="00000000">
            <w:pPr>
              <w:ind w:left="80"/>
            </w:pPr>
            <w:r>
              <w:rPr>
                <w:rFonts w:ascii="Calibri" w:hAnsi="Calibri"/>
                <w:color w:val="444444"/>
                <w:sz w:val="18"/>
              </w:rPr>
              <w:t>Breakeven</w:t>
            </w:r>
          </w:p>
        </w:tc>
        <w:tc>
          <w:tcPr>
            <w:tcW w:w="2160" w:type="dxa"/>
            <w:tcBorders>
              <w:top w:val="single" w:sz="4" w:space="0" w:color="DDDDDD"/>
              <w:left w:val="single" w:sz="4" w:space="0" w:color="DDDDDD"/>
              <w:bottom w:val="single" w:sz="4" w:space="0" w:color="DDDDDD"/>
              <w:right w:val="single" w:sz="4" w:space="0" w:color="DDDDDD"/>
            </w:tcBorders>
            <w:shd w:val="clear" w:color="auto" w:fill="FFFFFF"/>
          </w:tcPr>
          <w:p w14:paraId="3C83FAF3" w14:textId="77777777" w:rsidR="00B57D7C" w:rsidRDefault="00000000">
            <w:pPr>
              <w:ind w:left="80"/>
            </w:pPr>
            <w:r>
              <w:rPr>
                <w:rFonts w:ascii="Calibri" w:hAnsi="Calibri"/>
                <w:color w:val="444444"/>
                <w:sz w:val="18"/>
              </w:rPr>
              <w:t>-0.2% to +0.2%</w:t>
            </w:r>
          </w:p>
        </w:tc>
        <w:tc>
          <w:tcPr>
            <w:tcW w:w="5040" w:type="dxa"/>
            <w:tcBorders>
              <w:top w:val="single" w:sz="4" w:space="0" w:color="DDDDDD"/>
              <w:left w:val="single" w:sz="4" w:space="0" w:color="DDDDDD"/>
              <w:bottom w:val="single" w:sz="4" w:space="0" w:color="DDDDDD"/>
              <w:right w:val="single" w:sz="4" w:space="0" w:color="DDDDDD"/>
            </w:tcBorders>
            <w:shd w:val="clear" w:color="auto" w:fill="FFFFFF"/>
          </w:tcPr>
          <w:p w14:paraId="2E3F14C5" w14:textId="77777777" w:rsidR="00B57D7C" w:rsidRDefault="00000000">
            <w:pPr>
              <w:ind w:left="80"/>
            </w:pPr>
            <w:r>
              <w:rPr>
                <w:rFonts w:ascii="Calibri" w:hAnsi="Calibri"/>
                <w:color w:val="444444"/>
                <w:sz w:val="18"/>
              </w:rPr>
              <w:t>Covers slippage and spread noise. Does not affect win rate.</w:t>
            </w:r>
          </w:p>
        </w:tc>
      </w:tr>
    </w:tbl>
    <w:p w14:paraId="0E1F9E66" w14:textId="77777777" w:rsidR="00B57D7C" w:rsidRDefault="00B57D7C"/>
    <w:p w14:paraId="6E0C7689" w14:textId="77777777" w:rsidR="00B57D7C" w:rsidRDefault="00000000">
      <w:pPr>
        <w:spacing w:after="160"/>
        <w:ind w:left="432"/>
      </w:pPr>
      <w:r>
        <w:rPr>
          <w:rFonts w:ascii="Calibri" w:hAnsi="Calibri"/>
          <w:b/>
          <w:color w:val="FF6B00"/>
          <w:sz w:val="20"/>
        </w:rPr>
        <w:t xml:space="preserve">⚠  Advisory: </w:t>
      </w:r>
      <w:r>
        <w:rPr>
          <w:rFonts w:ascii="Calibri" w:hAnsi="Calibri"/>
          <w:color w:val="444444"/>
          <w:sz w:val="20"/>
        </w:rPr>
        <w:t>The 0.2% threshold is intentionally tight — it captures any directionally correct move. In practice, INTRADAY wins at 0.3% might not cover commission + spread, so consider raising the win threshold to 0.5%–1.0% for INTRADAY and 1.5%–2.0% for SWING when evaluating real profitability. LONG positions with congressional cluster signals should be evaluated at a minimum 3%–5% threshold given the longer hold and higher conviction required to enter.</w:t>
      </w:r>
    </w:p>
    <w:p w14:paraId="6F2C4A8C" w14:textId="77777777" w:rsidR="00B57D7C" w:rsidRDefault="00000000">
      <w:pPr>
        <w:pBdr>
          <w:bottom w:val="single" w:sz="6" w:space="1" w:color="FF6B00"/>
        </w:pBdr>
        <w:spacing w:before="360" w:after="80"/>
      </w:pPr>
      <w:r>
        <w:rPr>
          <w:rFonts w:ascii="Calibri" w:hAnsi="Calibri"/>
          <w:b/>
          <w:color w:val="FF6B00"/>
          <w:sz w:val="32"/>
        </w:rPr>
        <w:t>7. WHAT LASTREVIEW.JSON CONTAINS</w:t>
      </w:r>
    </w:p>
    <w:p w14:paraId="1134C28A" w14:textId="77777777" w:rsidR="00B57D7C" w:rsidRDefault="00000000">
      <w:pPr>
        <w:spacing w:before="40" w:after="80"/>
      </w:pPr>
      <w:r>
        <w:rPr>
          <w:rFonts w:ascii="Calibri" w:hAnsi="Calibri"/>
          <w:color w:val="444444"/>
          <w:sz w:val="20"/>
        </w:rPr>
        <w:t>This file is the memory of the council — generated once per day, read by Scout and Gregor on every subsequent sweep until the next review cycle updates it.</w:t>
      </w:r>
    </w:p>
    <w:tbl>
      <w:tblPr>
        <w:tblStyle w:val="TableGrid"/>
        <w:tblW w:w="0" w:type="auto"/>
        <w:tblLook w:val="04A0" w:firstRow="1" w:lastRow="0" w:firstColumn="1" w:lastColumn="0" w:noHBand="0" w:noVBand="1"/>
      </w:tblPr>
      <w:tblGrid>
        <w:gridCol w:w="3312"/>
        <w:gridCol w:w="6048"/>
      </w:tblGrid>
      <w:tr w:rsidR="00B57D7C" w14:paraId="4BD98F06" w14:textId="77777777">
        <w:tc>
          <w:tcPr>
            <w:tcW w:w="3312" w:type="dxa"/>
            <w:tcBorders>
              <w:top w:val="single" w:sz="4" w:space="0" w:color="DDDDDD"/>
              <w:left w:val="single" w:sz="4" w:space="0" w:color="DDDDDD"/>
              <w:bottom w:val="single" w:sz="4" w:space="0" w:color="DDDDDD"/>
              <w:right w:val="single" w:sz="4" w:space="0" w:color="DDDDDD"/>
            </w:tcBorders>
            <w:shd w:val="clear" w:color="auto" w:fill="F5F5F5"/>
            <w:vAlign w:val="center"/>
          </w:tcPr>
          <w:p w14:paraId="3017EE58" w14:textId="77777777" w:rsidR="00B57D7C" w:rsidRDefault="00000000">
            <w:pPr>
              <w:ind w:left="120"/>
            </w:pPr>
            <w:r>
              <w:rPr>
                <w:rFonts w:ascii="Calibri" w:hAnsi="Calibri"/>
                <w:b/>
                <w:color w:val="1A1A1A"/>
                <w:sz w:val="18"/>
              </w:rPr>
              <w:t>generatedAt</w:t>
            </w:r>
          </w:p>
        </w:tc>
        <w:tc>
          <w:tcPr>
            <w:tcW w:w="6048" w:type="dxa"/>
            <w:tcBorders>
              <w:top w:val="single" w:sz="4" w:space="0" w:color="DDDDDD"/>
              <w:left w:val="single" w:sz="4" w:space="0" w:color="DDDDDD"/>
              <w:bottom w:val="single" w:sz="4" w:space="0" w:color="DDDDDD"/>
              <w:right w:val="single" w:sz="4" w:space="0" w:color="DDDDDD"/>
            </w:tcBorders>
            <w:vAlign w:val="center"/>
          </w:tcPr>
          <w:p w14:paraId="211F6104" w14:textId="77777777" w:rsidR="00B57D7C" w:rsidRDefault="00000000">
            <w:pPr>
              <w:ind w:left="120"/>
            </w:pPr>
            <w:r>
              <w:rPr>
                <w:rFonts w:ascii="Calibri" w:hAnsi="Calibri"/>
                <w:color w:val="444444"/>
                <w:sz w:val="18"/>
              </w:rPr>
              <w:t>ISO timestamp of last review run</w:t>
            </w:r>
          </w:p>
        </w:tc>
      </w:tr>
      <w:tr w:rsidR="00B57D7C" w14:paraId="7C9E2B1C" w14:textId="77777777">
        <w:tc>
          <w:tcPr>
            <w:tcW w:w="3312" w:type="dxa"/>
            <w:tcBorders>
              <w:top w:val="single" w:sz="4" w:space="0" w:color="DDDDDD"/>
              <w:left w:val="single" w:sz="4" w:space="0" w:color="DDDDDD"/>
              <w:bottom w:val="single" w:sz="4" w:space="0" w:color="DDDDDD"/>
              <w:right w:val="single" w:sz="4" w:space="0" w:color="DDDDDD"/>
            </w:tcBorders>
            <w:shd w:val="clear" w:color="auto" w:fill="F5F5F5"/>
            <w:vAlign w:val="center"/>
          </w:tcPr>
          <w:p w14:paraId="7450B856" w14:textId="77777777" w:rsidR="00B57D7C" w:rsidRDefault="00000000">
            <w:pPr>
              <w:ind w:left="120"/>
            </w:pPr>
            <w:r>
              <w:rPr>
                <w:rFonts w:ascii="Calibri" w:hAnsi="Calibri"/>
                <w:b/>
                <w:color w:val="1A1A1A"/>
                <w:sz w:val="18"/>
              </w:rPr>
              <w:t>totalDecisions</w:t>
            </w:r>
          </w:p>
        </w:tc>
        <w:tc>
          <w:tcPr>
            <w:tcW w:w="6048" w:type="dxa"/>
            <w:tcBorders>
              <w:top w:val="single" w:sz="4" w:space="0" w:color="DDDDDD"/>
              <w:left w:val="single" w:sz="4" w:space="0" w:color="DDDDDD"/>
              <w:bottom w:val="single" w:sz="4" w:space="0" w:color="DDDDDD"/>
              <w:right w:val="single" w:sz="4" w:space="0" w:color="DDDDDD"/>
            </w:tcBorders>
            <w:vAlign w:val="center"/>
          </w:tcPr>
          <w:p w14:paraId="57BCAF4E" w14:textId="77777777" w:rsidR="00B57D7C" w:rsidRDefault="00000000">
            <w:pPr>
              <w:ind w:left="120"/>
            </w:pPr>
            <w:r>
              <w:rPr>
                <w:rFonts w:ascii="Calibri" w:hAnsi="Calibri"/>
                <w:color w:val="444444"/>
                <w:sz w:val="18"/>
              </w:rPr>
              <w:t>All decisions ever logged</w:t>
            </w:r>
          </w:p>
        </w:tc>
      </w:tr>
      <w:tr w:rsidR="00B57D7C" w14:paraId="59983B31" w14:textId="77777777">
        <w:tc>
          <w:tcPr>
            <w:tcW w:w="3312" w:type="dxa"/>
            <w:tcBorders>
              <w:top w:val="single" w:sz="4" w:space="0" w:color="DDDDDD"/>
              <w:left w:val="single" w:sz="4" w:space="0" w:color="DDDDDD"/>
              <w:bottom w:val="single" w:sz="4" w:space="0" w:color="DDDDDD"/>
              <w:right w:val="single" w:sz="4" w:space="0" w:color="DDDDDD"/>
            </w:tcBorders>
            <w:shd w:val="clear" w:color="auto" w:fill="F5F5F5"/>
            <w:vAlign w:val="center"/>
          </w:tcPr>
          <w:p w14:paraId="5AE8C0F7" w14:textId="77777777" w:rsidR="00B57D7C" w:rsidRDefault="00000000">
            <w:pPr>
              <w:ind w:left="120"/>
            </w:pPr>
            <w:r>
              <w:rPr>
                <w:rFonts w:ascii="Calibri" w:hAnsi="Calibri"/>
                <w:b/>
                <w:color w:val="1A1A1A"/>
                <w:sz w:val="18"/>
              </w:rPr>
              <w:t>resolved / open</w:t>
            </w:r>
          </w:p>
        </w:tc>
        <w:tc>
          <w:tcPr>
            <w:tcW w:w="6048" w:type="dxa"/>
            <w:tcBorders>
              <w:top w:val="single" w:sz="4" w:space="0" w:color="DDDDDD"/>
              <w:left w:val="single" w:sz="4" w:space="0" w:color="DDDDDD"/>
              <w:bottom w:val="single" w:sz="4" w:space="0" w:color="DDDDDD"/>
              <w:right w:val="single" w:sz="4" w:space="0" w:color="DDDDDD"/>
            </w:tcBorders>
            <w:vAlign w:val="center"/>
          </w:tcPr>
          <w:p w14:paraId="2E3F9DDF" w14:textId="77777777" w:rsidR="00B57D7C" w:rsidRDefault="00000000">
            <w:pPr>
              <w:ind w:left="120"/>
            </w:pPr>
            <w:r>
              <w:rPr>
                <w:rFonts w:ascii="Calibri" w:hAnsi="Calibri"/>
                <w:color w:val="444444"/>
                <w:sz w:val="18"/>
              </w:rPr>
              <w:t>How many have closed vs still held</w:t>
            </w:r>
          </w:p>
        </w:tc>
      </w:tr>
      <w:tr w:rsidR="00B57D7C" w14:paraId="406D0E5F" w14:textId="77777777">
        <w:tc>
          <w:tcPr>
            <w:tcW w:w="3312" w:type="dxa"/>
            <w:tcBorders>
              <w:top w:val="single" w:sz="4" w:space="0" w:color="DDDDDD"/>
              <w:left w:val="single" w:sz="4" w:space="0" w:color="DDDDDD"/>
              <w:bottom w:val="single" w:sz="4" w:space="0" w:color="DDDDDD"/>
              <w:right w:val="single" w:sz="4" w:space="0" w:color="DDDDDD"/>
            </w:tcBorders>
            <w:shd w:val="clear" w:color="auto" w:fill="F5F5F5"/>
            <w:vAlign w:val="center"/>
          </w:tcPr>
          <w:p w14:paraId="4023B612" w14:textId="77777777" w:rsidR="00B57D7C" w:rsidRDefault="00000000">
            <w:pPr>
              <w:ind w:left="120"/>
            </w:pPr>
            <w:r>
              <w:rPr>
                <w:rFonts w:ascii="Calibri" w:hAnsi="Calibri"/>
                <w:b/>
                <w:color w:val="1A1A1A"/>
                <w:sz w:val="18"/>
              </w:rPr>
              <w:t>winRate</w:t>
            </w:r>
          </w:p>
        </w:tc>
        <w:tc>
          <w:tcPr>
            <w:tcW w:w="6048" w:type="dxa"/>
            <w:tcBorders>
              <w:top w:val="single" w:sz="4" w:space="0" w:color="DDDDDD"/>
              <w:left w:val="single" w:sz="4" w:space="0" w:color="DDDDDD"/>
              <w:bottom w:val="single" w:sz="4" w:space="0" w:color="DDDDDD"/>
              <w:right w:val="single" w:sz="4" w:space="0" w:color="DDDDDD"/>
            </w:tcBorders>
            <w:vAlign w:val="center"/>
          </w:tcPr>
          <w:p w14:paraId="350CA044" w14:textId="77777777" w:rsidR="00B57D7C" w:rsidRDefault="00000000">
            <w:pPr>
              <w:ind w:left="120"/>
            </w:pPr>
            <w:r>
              <w:rPr>
                <w:rFonts w:ascii="Calibri" w:hAnsi="Calibri"/>
                <w:color w:val="444444"/>
                <w:sz w:val="18"/>
              </w:rPr>
              <w:t>Overall win rate across all resolved decisions</w:t>
            </w:r>
          </w:p>
        </w:tc>
      </w:tr>
      <w:tr w:rsidR="00B57D7C" w14:paraId="1E06DC14" w14:textId="77777777">
        <w:tc>
          <w:tcPr>
            <w:tcW w:w="3312" w:type="dxa"/>
            <w:tcBorders>
              <w:top w:val="single" w:sz="4" w:space="0" w:color="DDDDDD"/>
              <w:left w:val="single" w:sz="4" w:space="0" w:color="DDDDDD"/>
              <w:bottom w:val="single" w:sz="4" w:space="0" w:color="DDDDDD"/>
              <w:right w:val="single" w:sz="4" w:space="0" w:color="DDDDDD"/>
            </w:tcBorders>
            <w:shd w:val="clear" w:color="auto" w:fill="F5F5F5"/>
            <w:vAlign w:val="center"/>
          </w:tcPr>
          <w:p w14:paraId="32CD18CC" w14:textId="77777777" w:rsidR="00B57D7C" w:rsidRDefault="00000000">
            <w:pPr>
              <w:ind w:left="120"/>
            </w:pPr>
            <w:r>
              <w:rPr>
                <w:rFonts w:ascii="Calibri" w:hAnsi="Calibri"/>
                <w:b/>
                <w:color w:val="1A1A1A"/>
                <w:sz w:val="18"/>
              </w:rPr>
              <w:t>avgWinPct / avgLossPct</w:t>
            </w:r>
          </w:p>
        </w:tc>
        <w:tc>
          <w:tcPr>
            <w:tcW w:w="6048" w:type="dxa"/>
            <w:tcBorders>
              <w:top w:val="single" w:sz="4" w:space="0" w:color="DDDDDD"/>
              <w:left w:val="single" w:sz="4" w:space="0" w:color="DDDDDD"/>
              <w:bottom w:val="single" w:sz="4" w:space="0" w:color="DDDDDD"/>
              <w:right w:val="single" w:sz="4" w:space="0" w:color="DDDDDD"/>
            </w:tcBorders>
            <w:vAlign w:val="center"/>
          </w:tcPr>
          <w:p w14:paraId="013D0C20" w14:textId="77777777" w:rsidR="00B57D7C" w:rsidRDefault="00000000">
            <w:pPr>
              <w:ind w:left="120"/>
            </w:pPr>
            <w:r>
              <w:rPr>
                <w:rFonts w:ascii="Calibri" w:hAnsi="Calibri"/>
                <w:color w:val="444444"/>
                <w:sz w:val="18"/>
              </w:rPr>
              <w:t>Average magnitude of wins and losses</w:t>
            </w:r>
          </w:p>
        </w:tc>
      </w:tr>
      <w:tr w:rsidR="00B57D7C" w14:paraId="428321E4" w14:textId="77777777">
        <w:tc>
          <w:tcPr>
            <w:tcW w:w="3312" w:type="dxa"/>
            <w:tcBorders>
              <w:top w:val="single" w:sz="4" w:space="0" w:color="DDDDDD"/>
              <w:left w:val="single" w:sz="4" w:space="0" w:color="DDDDDD"/>
              <w:bottom w:val="single" w:sz="4" w:space="0" w:color="DDDDDD"/>
              <w:right w:val="single" w:sz="4" w:space="0" w:color="DDDDDD"/>
            </w:tcBorders>
            <w:shd w:val="clear" w:color="auto" w:fill="F5F5F5"/>
            <w:vAlign w:val="center"/>
          </w:tcPr>
          <w:p w14:paraId="0835A471" w14:textId="77777777" w:rsidR="00B57D7C" w:rsidRDefault="00000000">
            <w:pPr>
              <w:ind w:left="120"/>
            </w:pPr>
            <w:r>
              <w:rPr>
                <w:rFonts w:ascii="Calibri" w:hAnsi="Calibri"/>
                <w:b/>
                <w:color w:val="1A1A1A"/>
                <w:sz w:val="18"/>
              </w:rPr>
              <w:t>profitFactor</w:t>
            </w:r>
          </w:p>
        </w:tc>
        <w:tc>
          <w:tcPr>
            <w:tcW w:w="6048" w:type="dxa"/>
            <w:tcBorders>
              <w:top w:val="single" w:sz="4" w:space="0" w:color="DDDDDD"/>
              <w:left w:val="single" w:sz="4" w:space="0" w:color="DDDDDD"/>
              <w:bottom w:val="single" w:sz="4" w:space="0" w:color="DDDDDD"/>
              <w:right w:val="single" w:sz="4" w:space="0" w:color="DDDDDD"/>
            </w:tcBorders>
            <w:vAlign w:val="center"/>
          </w:tcPr>
          <w:p w14:paraId="0CF2325F" w14:textId="77777777" w:rsidR="00B57D7C" w:rsidRDefault="00000000">
            <w:pPr>
              <w:ind w:left="120"/>
            </w:pPr>
            <w:r>
              <w:rPr>
                <w:rFonts w:ascii="Calibri" w:hAnsi="Calibri"/>
                <w:color w:val="444444"/>
                <w:sz w:val="18"/>
              </w:rPr>
              <w:t>Total gain / total loss — the primary health metric</w:t>
            </w:r>
          </w:p>
        </w:tc>
      </w:tr>
      <w:tr w:rsidR="00B57D7C" w14:paraId="728302FF" w14:textId="77777777">
        <w:tc>
          <w:tcPr>
            <w:tcW w:w="3312" w:type="dxa"/>
            <w:tcBorders>
              <w:top w:val="single" w:sz="4" w:space="0" w:color="DDDDDD"/>
              <w:left w:val="single" w:sz="4" w:space="0" w:color="DDDDDD"/>
              <w:bottom w:val="single" w:sz="4" w:space="0" w:color="DDDDDD"/>
              <w:right w:val="single" w:sz="4" w:space="0" w:color="DDDDDD"/>
            </w:tcBorders>
            <w:shd w:val="clear" w:color="auto" w:fill="F5F5F5"/>
            <w:vAlign w:val="center"/>
          </w:tcPr>
          <w:p w14:paraId="3BB812F0" w14:textId="77777777" w:rsidR="00B57D7C" w:rsidRDefault="00000000">
            <w:pPr>
              <w:ind w:left="120"/>
            </w:pPr>
            <w:r>
              <w:rPr>
                <w:rFonts w:ascii="Calibri" w:hAnsi="Calibri"/>
                <w:b/>
                <w:color w:val="1A1A1A"/>
                <w:sz w:val="18"/>
              </w:rPr>
              <w:t>byHorizon</w:t>
            </w:r>
          </w:p>
        </w:tc>
        <w:tc>
          <w:tcPr>
            <w:tcW w:w="6048" w:type="dxa"/>
            <w:tcBorders>
              <w:top w:val="single" w:sz="4" w:space="0" w:color="DDDDDD"/>
              <w:left w:val="single" w:sz="4" w:space="0" w:color="DDDDDD"/>
              <w:bottom w:val="single" w:sz="4" w:space="0" w:color="DDDDDD"/>
              <w:right w:val="single" w:sz="4" w:space="0" w:color="DDDDDD"/>
            </w:tcBorders>
            <w:vAlign w:val="center"/>
          </w:tcPr>
          <w:p w14:paraId="1FBB60F3" w14:textId="77777777" w:rsidR="00B57D7C" w:rsidRDefault="00000000">
            <w:pPr>
              <w:ind w:left="120"/>
            </w:pPr>
            <w:r>
              <w:rPr>
                <w:rFonts w:ascii="Calibri" w:hAnsi="Calibri"/>
                <w:color w:val="444444"/>
                <w:sz w:val="18"/>
              </w:rPr>
              <w:t>Win rate + avg P&amp;L broken down by INTRADAY / SWING / LONG</w:t>
            </w:r>
          </w:p>
        </w:tc>
      </w:tr>
      <w:tr w:rsidR="00B57D7C" w14:paraId="01EBE691" w14:textId="77777777">
        <w:tc>
          <w:tcPr>
            <w:tcW w:w="3312" w:type="dxa"/>
            <w:tcBorders>
              <w:top w:val="single" w:sz="4" w:space="0" w:color="DDDDDD"/>
              <w:left w:val="single" w:sz="4" w:space="0" w:color="DDDDDD"/>
              <w:bottom w:val="single" w:sz="4" w:space="0" w:color="DDDDDD"/>
              <w:right w:val="single" w:sz="4" w:space="0" w:color="DDDDDD"/>
            </w:tcBorders>
            <w:shd w:val="clear" w:color="auto" w:fill="F5F5F5"/>
            <w:vAlign w:val="center"/>
          </w:tcPr>
          <w:p w14:paraId="2716DDBC" w14:textId="77777777" w:rsidR="00B57D7C" w:rsidRDefault="00000000">
            <w:pPr>
              <w:ind w:left="120"/>
            </w:pPr>
            <w:r>
              <w:rPr>
                <w:rFonts w:ascii="Calibri" w:hAnsi="Calibri"/>
                <w:b/>
                <w:color w:val="1A1A1A"/>
                <w:sz w:val="18"/>
              </w:rPr>
              <w:lastRenderedPageBreak/>
              <w:t>bySignal</w:t>
            </w:r>
          </w:p>
        </w:tc>
        <w:tc>
          <w:tcPr>
            <w:tcW w:w="6048" w:type="dxa"/>
            <w:tcBorders>
              <w:top w:val="single" w:sz="4" w:space="0" w:color="DDDDDD"/>
              <w:left w:val="single" w:sz="4" w:space="0" w:color="DDDDDD"/>
              <w:bottom w:val="single" w:sz="4" w:space="0" w:color="DDDDDD"/>
              <w:right w:val="single" w:sz="4" w:space="0" w:color="DDDDDD"/>
            </w:tcBorders>
            <w:vAlign w:val="center"/>
          </w:tcPr>
          <w:p w14:paraId="33453AC2" w14:textId="77777777" w:rsidR="00B57D7C" w:rsidRDefault="00000000">
            <w:pPr>
              <w:ind w:left="120"/>
            </w:pPr>
            <w:r>
              <w:rPr>
                <w:rFonts w:ascii="Calibri" w:hAnsi="Calibri"/>
                <w:color w:val="444444"/>
                <w:sz w:val="18"/>
              </w:rPr>
              <w:t>Win rate by congressional cluster, signal score tier, and VIX level</w:t>
            </w:r>
          </w:p>
        </w:tc>
      </w:tr>
      <w:tr w:rsidR="00B57D7C" w14:paraId="11BC41E9" w14:textId="77777777">
        <w:tc>
          <w:tcPr>
            <w:tcW w:w="3312" w:type="dxa"/>
            <w:tcBorders>
              <w:top w:val="single" w:sz="4" w:space="0" w:color="DDDDDD"/>
              <w:left w:val="single" w:sz="4" w:space="0" w:color="DDDDDD"/>
              <w:bottom w:val="single" w:sz="4" w:space="0" w:color="DDDDDD"/>
              <w:right w:val="single" w:sz="4" w:space="0" w:color="DDDDDD"/>
            </w:tcBorders>
            <w:shd w:val="clear" w:color="auto" w:fill="F5F5F5"/>
            <w:vAlign w:val="center"/>
          </w:tcPr>
          <w:p w14:paraId="51F90418" w14:textId="77777777" w:rsidR="00B57D7C" w:rsidRDefault="00000000">
            <w:pPr>
              <w:ind w:left="120"/>
            </w:pPr>
            <w:r>
              <w:rPr>
                <w:rFonts w:ascii="Calibri" w:hAnsi="Calibri"/>
                <w:b/>
                <w:color w:val="1A1A1A"/>
                <w:sz w:val="18"/>
              </w:rPr>
              <w:t>topWinners / topLosers</w:t>
            </w:r>
          </w:p>
        </w:tc>
        <w:tc>
          <w:tcPr>
            <w:tcW w:w="6048" w:type="dxa"/>
            <w:tcBorders>
              <w:top w:val="single" w:sz="4" w:space="0" w:color="DDDDDD"/>
              <w:left w:val="single" w:sz="4" w:space="0" w:color="DDDDDD"/>
              <w:bottom w:val="single" w:sz="4" w:space="0" w:color="DDDDDD"/>
              <w:right w:val="single" w:sz="4" w:space="0" w:color="DDDDDD"/>
            </w:tcBorders>
            <w:vAlign w:val="center"/>
          </w:tcPr>
          <w:p w14:paraId="591EE822" w14:textId="77777777" w:rsidR="00B57D7C" w:rsidRDefault="00000000">
            <w:pPr>
              <w:ind w:left="120"/>
            </w:pPr>
            <w:r>
              <w:rPr>
                <w:rFonts w:ascii="Calibri" w:hAnsi="Calibri"/>
                <w:color w:val="444444"/>
                <w:sz w:val="18"/>
              </w:rPr>
              <w:t>Ticker lists — helps Scout apply anti-bias to repeat losers</w:t>
            </w:r>
          </w:p>
        </w:tc>
      </w:tr>
      <w:tr w:rsidR="00B57D7C" w14:paraId="5267EB71" w14:textId="77777777">
        <w:tc>
          <w:tcPr>
            <w:tcW w:w="3312" w:type="dxa"/>
            <w:tcBorders>
              <w:top w:val="single" w:sz="4" w:space="0" w:color="DDDDDD"/>
              <w:left w:val="single" w:sz="4" w:space="0" w:color="DDDDDD"/>
              <w:bottom w:val="single" w:sz="4" w:space="0" w:color="DDDDDD"/>
              <w:right w:val="single" w:sz="4" w:space="0" w:color="DDDDDD"/>
            </w:tcBorders>
            <w:shd w:val="clear" w:color="auto" w:fill="F5F5F5"/>
            <w:vAlign w:val="center"/>
          </w:tcPr>
          <w:p w14:paraId="7E394E26" w14:textId="77777777" w:rsidR="00B57D7C" w:rsidRDefault="00000000">
            <w:pPr>
              <w:ind w:left="120"/>
            </w:pPr>
            <w:r>
              <w:rPr>
                <w:rFonts w:ascii="Calibri" w:hAnsi="Calibri"/>
                <w:b/>
                <w:color w:val="1A1A1A"/>
                <w:sz w:val="18"/>
              </w:rPr>
              <w:t>gregorWaitRate</w:t>
            </w:r>
          </w:p>
        </w:tc>
        <w:tc>
          <w:tcPr>
            <w:tcW w:w="6048" w:type="dxa"/>
            <w:tcBorders>
              <w:top w:val="single" w:sz="4" w:space="0" w:color="DDDDDD"/>
              <w:left w:val="single" w:sz="4" w:space="0" w:color="DDDDDD"/>
              <w:bottom w:val="single" w:sz="4" w:space="0" w:color="DDDDDD"/>
              <w:right w:val="single" w:sz="4" w:space="0" w:color="DDDDDD"/>
            </w:tcBorders>
            <w:vAlign w:val="center"/>
          </w:tcPr>
          <w:p w14:paraId="77780515" w14:textId="77777777" w:rsidR="00B57D7C" w:rsidRDefault="00000000">
            <w:pPr>
              <w:ind w:left="120"/>
            </w:pPr>
            <w:r>
              <w:rPr>
                <w:rFonts w:ascii="Calibri" w:hAnsi="Calibri"/>
                <w:color w:val="444444"/>
                <w:sz w:val="18"/>
              </w:rPr>
              <w:t>How often Gregor says WAIT — signals if council is too conservative</w:t>
            </w:r>
          </w:p>
        </w:tc>
      </w:tr>
      <w:tr w:rsidR="00B57D7C" w14:paraId="119140FC" w14:textId="77777777">
        <w:tc>
          <w:tcPr>
            <w:tcW w:w="3312" w:type="dxa"/>
            <w:tcBorders>
              <w:top w:val="single" w:sz="4" w:space="0" w:color="DDDDDD"/>
              <w:left w:val="single" w:sz="4" w:space="0" w:color="DDDDDD"/>
              <w:bottom w:val="single" w:sz="4" w:space="0" w:color="DDDDDD"/>
              <w:right w:val="single" w:sz="4" w:space="0" w:color="DDDDDD"/>
            </w:tcBorders>
            <w:shd w:val="clear" w:color="auto" w:fill="F5F5F5"/>
            <w:vAlign w:val="center"/>
          </w:tcPr>
          <w:p w14:paraId="77C02EC8" w14:textId="77777777" w:rsidR="00B57D7C" w:rsidRDefault="00000000">
            <w:pPr>
              <w:ind w:left="120"/>
            </w:pPr>
            <w:r>
              <w:rPr>
                <w:rFonts w:ascii="Calibri" w:hAnsi="Calibri"/>
                <w:b/>
                <w:color w:val="1A1A1A"/>
                <w:sz w:val="18"/>
              </w:rPr>
              <w:t>recommendations</w:t>
            </w:r>
          </w:p>
        </w:tc>
        <w:tc>
          <w:tcPr>
            <w:tcW w:w="6048" w:type="dxa"/>
            <w:tcBorders>
              <w:top w:val="single" w:sz="4" w:space="0" w:color="DDDDDD"/>
              <w:left w:val="single" w:sz="4" w:space="0" w:color="DDDDDD"/>
              <w:bottom w:val="single" w:sz="4" w:space="0" w:color="DDDDDD"/>
              <w:right w:val="single" w:sz="4" w:space="0" w:color="DDDDDD"/>
            </w:tcBorders>
            <w:vAlign w:val="center"/>
          </w:tcPr>
          <w:p w14:paraId="22CF9B9B" w14:textId="77777777" w:rsidR="00B57D7C" w:rsidRDefault="00000000">
            <w:pPr>
              <w:ind w:left="120"/>
            </w:pPr>
            <w:r>
              <w:rPr>
                <w:rFonts w:ascii="Calibri" w:hAnsi="Calibri"/>
                <w:color w:val="444444"/>
                <w:sz w:val="18"/>
              </w:rPr>
              <w:t>Auto-generated directives the council acts on</w:t>
            </w:r>
          </w:p>
        </w:tc>
      </w:tr>
      <w:tr w:rsidR="00B57D7C" w14:paraId="63DCFEE1" w14:textId="77777777">
        <w:tc>
          <w:tcPr>
            <w:tcW w:w="3312" w:type="dxa"/>
            <w:tcBorders>
              <w:top w:val="single" w:sz="4" w:space="0" w:color="DDDDDD"/>
              <w:left w:val="single" w:sz="4" w:space="0" w:color="DDDDDD"/>
              <w:bottom w:val="single" w:sz="4" w:space="0" w:color="DDDDDD"/>
              <w:right w:val="single" w:sz="4" w:space="0" w:color="DDDDDD"/>
            </w:tcBorders>
            <w:shd w:val="clear" w:color="auto" w:fill="F5F5F5"/>
            <w:vAlign w:val="center"/>
          </w:tcPr>
          <w:p w14:paraId="0C76B574" w14:textId="77777777" w:rsidR="00B57D7C" w:rsidRDefault="00000000">
            <w:pPr>
              <w:ind w:left="120"/>
            </w:pPr>
            <w:r>
              <w:rPr>
                <w:rFonts w:ascii="Calibri" w:hAnsi="Calibri"/>
                <w:b/>
                <w:color w:val="1A1A1A"/>
                <w:sz w:val="18"/>
              </w:rPr>
              <w:t>narrativeSummary</w:t>
            </w:r>
          </w:p>
        </w:tc>
        <w:tc>
          <w:tcPr>
            <w:tcW w:w="6048" w:type="dxa"/>
            <w:tcBorders>
              <w:top w:val="single" w:sz="4" w:space="0" w:color="DDDDDD"/>
              <w:left w:val="single" w:sz="4" w:space="0" w:color="DDDDDD"/>
              <w:bottom w:val="single" w:sz="4" w:space="0" w:color="DDDDDD"/>
              <w:right w:val="single" w:sz="4" w:space="0" w:color="DDDDDD"/>
            </w:tcBorders>
            <w:vAlign w:val="center"/>
          </w:tcPr>
          <w:p w14:paraId="411BD591" w14:textId="77777777" w:rsidR="00B57D7C" w:rsidRDefault="00000000">
            <w:pPr>
              <w:ind w:left="120"/>
            </w:pPr>
            <w:r>
              <w:rPr>
                <w:rFonts w:ascii="Calibri" w:hAnsi="Calibri"/>
                <w:color w:val="444444"/>
                <w:sz w:val="18"/>
              </w:rPr>
              <w:t>Plain-language summary injected into Scout's SECTION P prompt block</w:t>
            </w:r>
          </w:p>
        </w:tc>
      </w:tr>
    </w:tbl>
    <w:p w14:paraId="302AEA76" w14:textId="77777777" w:rsidR="00B57D7C" w:rsidRDefault="00B57D7C"/>
    <w:p w14:paraId="797179D8" w14:textId="77777777" w:rsidR="00B57D7C" w:rsidRDefault="00000000">
      <w:pPr>
        <w:pBdr>
          <w:bottom w:val="single" w:sz="6" w:space="1" w:color="FF6B00"/>
        </w:pBdr>
        <w:spacing w:before="360" w:after="80"/>
      </w:pPr>
      <w:r>
        <w:rPr>
          <w:rFonts w:ascii="Calibri" w:hAnsi="Calibri"/>
          <w:b/>
          <w:color w:val="FF6B00"/>
          <w:sz w:val="32"/>
        </w:rPr>
        <w:t>8. FMP API CALL OPTIMIZATION</w:t>
      </w:r>
    </w:p>
    <w:p w14:paraId="115C5087" w14:textId="77777777" w:rsidR="00B57D7C" w:rsidRDefault="00000000">
      <w:pPr>
        <w:spacing w:before="40" w:after="80"/>
      </w:pPr>
      <w:r>
        <w:rPr>
          <w:rFonts w:ascii="Calibri" w:hAnsi="Calibri"/>
          <w:color w:val="444444"/>
          <w:sz w:val="20"/>
        </w:rPr>
        <w:t>The Financial Modeling Prep congressional trades API is limited to 250 calls/day on the free tier. With a 10-minute sweep cycle that would generate 144 calls/day per endpoint — well over the limit. The system solves this with an in-memory TTL cache.</w:t>
      </w:r>
    </w:p>
    <w:tbl>
      <w:tblPr>
        <w:tblStyle w:val="TableGrid"/>
        <w:tblW w:w="0" w:type="auto"/>
        <w:tblLook w:val="04A0" w:firstRow="1" w:lastRow="0" w:firstColumn="1" w:lastColumn="0" w:noHBand="0" w:noVBand="1"/>
      </w:tblPr>
      <w:tblGrid>
        <w:gridCol w:w="3312"/>
        <w:gridCol w:w="6048"/>
      </w:tblGrid>
      <w:tr w:rsidR="00B57D7C" w14:paraId="38DE7F56" w14:textId="77777777">
        <w:tc>
          <w:tcPr>
            <w:tcW w:w="3312" w:type="dxa"/>
            <w:tcBorders>
              <w:top w:val="single" w:sz="4" w:space="0" w:color="DDDDDD"/>
              <w:left w:val="single" w:sz="4" w:space="0" w:color="DDDDDD"/>
              <w:bottom w:val="single" w:sz="4" w:space="0" w:color="DDDDDD"/>
              <w:right w:val="single" w:sz="4" w:space="0" w:color="DDDDDD"/>
            </w:tcBorders>
            <w:shd w:val="clear" w:color="auto" w:fill="F5F5F5"/>
            <w:vAlign w:val="center"/>
          </w:tcPr>
          <w:p w14:paraId="1D8A04AA" w14:textId="77777777" w:rsidR="00B57D7C" w:rsidRDefault="00000000">
            <w:pPr>
              <w:ind w:left="120"/>
            </w:pPr>
            <w:r>
              <w:rPr>
                <w:rFonts w:ascii="Calibri" w:hAnsi="Calibri"/>
                <w:b/>
                <w:color w:val="1A1A1A"/>
                <w:sz w:val="18"/>
              </w:rPr>
              <w:t>Default cache TTL</w:t>
            </w:r>
          </w:p>
        </w:tc>
        <w:tc>
          <w:tcPr>
            <w:tcW w:w="6048" w:type="dxa"/>
            <w:tcBorders>
              <w:top w:val="single" w:sz="4" w:space="0" w:color="DDDDDD"/>
              <w:left w:val="single" w:sz="4" w:space="0" w:color="DDDDDD"/>
              <w:bottom w:val="single" w:sz="4" w:space="0" w:color="DDDDDD"/>
              <w:right w:val="single" w:sz="4" w:space="0" w:color="DDDDDD"/>
            </w:tcBorders>
            <w:vAlign w:val="center"/>
          </w:tcPr>
          <w:p w14:paraId="52E1BB62" w14:textId="77777777" w:rsidR="00B57D7C" w:rsidRDefault="00000000">
            <w:pPr>
              <w:ind w:left="120"/>
            </w:pPr>
            <w:r>
              <w:rPr>
                <w:rFonts w:ascii="Calibri" w:hAnsi="Calibri"/>
                <w:color w:val="444444"/>
                <w:sz w:val="18"/>
              </w:rPr>
              <w:t>4 hours (configurable via CONGRESS_CACHE_HOURS env var)</w:t>
            </w:r>
          </w:p>
        </w:tc>
      </w:tr>
      <w:tr w:rsidR="00B57D7C" w14:paraId="012DB077" w14:textId="77777777">
        <w:tc>
          <w:tcPr>
            <w:tcW w:w="3312" w:type="dxa"/>
            <w:tcBorders>
              <w:top w:val="single" w:sz="4" w:space="0" w:color="DDDDDD"/>
              <w:left w:val="single" w:sz="4" w:space="0" w:color="DDDDDD"/>
              <w:bottom w:val="single" w:sz="4" w:space="0" w:color="DDDDDD"/>
              <w:right w:val="single" w:sz="4" w:space="0" w:color="DDDDDD"/>
            </w:tcBorders>
            <w:shd w:val="clear" w:color="auto" w:fill="F5F5F5"/>
            <w:vAlign w:val="center"/>
          </w:tcPr>
          <w:p w14:paraId="4AC7CCD3" w14:textId="77777777" w:rsidR="00B57D7C" w:rsidRDefault="00000000">
            <w:pPr>
              <w:ind w:left="120"/>
            </w:pPr>
            <w:r>
              <w:rPr>
                <w:rFonts w:ascii="Calibri" w:hAnsi="Calibri"/>
                <w:b/>
                <w:color w:val="1A1A1A"/>
                <w:sz w:val="18"/>
              </w:rPr>
              <w:t>Calls with caching</w:t>
            </w:r>
          </w:p>
        </w:tc>
        <w:tc>
          <w:tcPr>
            <w:tcW w:w="6048" w:type="dxa"/>
            <w:tcBorders>
              <w:top w:val="single" w:sz="4" w:space="0" w:color="DDDDDD"/>
              <w:left w:val="single" w:sz="4" w:space="0" w:color="DDDDDD"/>
              <w:bottom w:val="single" w:sz="4" w:space="0" w:color="DDDDDD"/>
              <w:right w:val="single" w:sz="4" w:space="0" w:color="DDDDDD"/>
            </w:tcBorders>
            <w:vAlign w:val="center"/>
          </w:tcPr>
          <w:p w14:paraId="6E099889" w14:textId="77777777" w:rsidR="00B57D7C" w:rsidRDefault="00000000">
            <w:pPr>
              <w:ind w:left="120"/>
            </w:pPr>
            <w:r>
              <w:rPr>
                <w:rFonts w:ascii="Calibri" w:hAnsi="Calibri"/>
                <w:color w:val="444444"/>
                <w:sz w:val="18"/>
              </w:rPr>
              <w:t>~12/day (6 refreshes × 2 chamber endpoints)</w:t>
            </w:r>
          </w:p>
        </w:tc>
      </w:tr>
      <w:tr w:rsidR="00B57D7C" w14:paraId="5592B4F4" w14:textId="77777777">
        <w:tc>
          <w:tcPr>
            <w:tcW w:w="3312" w:type="dxa"/>
            <w:tcBorders>
              <w:top w:val="single" w:sz="4" w:space="0" w:color="DDDDDD"/>
              <w:left w:val="single" w:sz="4" w:space="0" w:color="DDDDDD"/>
              <w:bottom w:val="single" w:sz="4" w:space="0" w:color="DDDDDD"/>
              <w:right w:val="single" w:sz="4" w:space="0" w:color="DDDDDD"/>
            </w:tcBorders>
            <w:shd w:val="clear" w:color="auto" w:fill="F5F5F5"/>
            <w:vAlign w:val="center"/>
          </w:tcPr>
          <w:p w14:paraId="50D77FE6" w14:textId="77777777" w:rsidR="00B57D7C" w:rsidRDefault="00000000">
            <w:pPr>
              <w:ind w:left="120"/>
            </w:pPr>
            <w:r>
              <w:rPr>
                <w:rFonts w:ascii="Calibri" w:hAnsi="Calibri"/>
                <w:b/>
                <w:color w:val="1A1A1A"/>
                <w:sz w:val="18"/>
              </w:rPr>
              <w:t>Calls without caching</w:t>
            </w:r>
          </w:p>
        </w:tc>
        <w:tc>
          <w:tcPr>
            <w:tcW w:w="6048" w:type="dxa"/>
            <w:tcBorders>
              <w:top w:val="single" w:sz="4" w:space="0" w:color="DDDDDD"/>
              <w:left w:val="single" w:sz="4" w:space="0" w:color="DDDDDD"/>
              <w:bottom w:val="single" w:sz="4" w:space="0" w:color="DDDDDD"/>
              <w:right w:val="single" w:sz="4" w:space="0" w:color="DDDDDD"/>
            </w:tcBorders>
            <w:vAlign w:val="center"/>
          </w:tcPr>
          <w:p w14:paraId="76527D02" w14:textId="77777777" w:rsidR="00B57D7C" w:rsidRDefault="00000000">
            <w:pPr>
              <w:ind w:left="120"/>
            </w:pPr>
            <w:r>
              <w:rPr>
                <w:rFonts w:ascii="Calibri" w:hAnsi="Calibri"/>
                <w:color w:val="444444"/>
                <w:sz w:val="18"/>
              </w:rPr>
              <w:t>288/day — would exceed the 250 limit</w:t>
            </w:r>
          </w:p>
        </w:tc>
      </w:tr>
      <w:tr w:rsidR="00B57D7C" w14:paraId="6D037A8B" w14:textId="77777777">
        <w:tc>
          <w:tcPr>
            <w:tcW w:w="3312" w:type="dxa"/>
            <w:tcBorders>
              <w:top w:val="single" w:sz="4" w:space="0" w:color="DDDDDD"/>
              <w:left w:val="single" w:sz="4" w:space="0" w:color="DDDDDD"/>
              <w:bottom w:val="single" w:sz="4" w:space="0" w:color="DDDDDD"/>
              <w:right w:val="single" w:sz="4" w:space="0" w:color="DDDDDD"/>
            </w:tcBorders>
            <w:shd w:val="clear" w:color="auto" w:fill="F5F5F5"/>
            <w:vAlign w:val="center"/>
          </w:tcPr>
          <w:p w14:paraId="7834DEF6" w14:textId="77777777" w:rsidR="00B57D7C" w:rsidRDefault="00000000">
            <w:pPr>
              <w:ind w:left="120"/>
            </w:pPr>
            <w:r>
              <w:rPr>
                <w:rFonts w:ascii="Calibri" w:hAnsi="Calibri"/>
                <w:b/>
                <w:color w:val="1A1A1A"/>
                <w:sz w:val="18"/>
              </w:rPr>
              <w:t>Cache miss behavior</w:t>
            </w:r>
          </w:p>
        </w:tc>
        <w:tc>
          <w:tcPr>
            <w:tcW w:w="6048" w:type="dxa"/>
            <w:tcBorders>
              <w:top w:val="single" w:sz="4" w:space="0" w:color="DDDDDD"/>
              <w:left w:val="single" w:sz="4" w:space="0" w:color="DDDDDD"/>
              <w:bottom w:val="single" w:sz="4" w:space="0" w:color="DDDDDD"/>
              <w:right w:val="single" w:sz="4" w:space="0" w:color="DDDDDD"/>
            </w:tcBorders>
            <w:vAlign w:val="center"/>
          </w:tcPr>
          <w:p w14:paraId="1F5A79E8" w14:textId="77777777" w:rsidR="00B57D7C" w:rsidRDefault="00000000">
            <w:pPr>
              <w:ind w:left="120"/>
            </w:pPr>
            <w:r>
              <w:rPr>
                <w:rFonts w:ascii="Calibri" w:hAnsi="Calibri"/>
                <w:color w:val="444444"/>
                <w:sz w:val="18"/>
              </w:rPr>
              <w:t>Fetches fresh data, caches result, increments daily call counter</w:t>
            </w:r>
          </w:p>
        </w:tc>
      </w:tr>
      <w:tr w:rsidR="00B57D7C" w14:paraId="3EFB5071" w14:textId="77777777">
        <w:tc>
          <w:tcPr>
            <w:tcW w:w="3312" w:type="dxa"/>
            <w:tcBorders>
              <w:top w:val="single" w:sz="4" w:space="0" w:color="DDDDDD"/>
              <w:left w:val="single" w:sz="4" w:space="0" w:color="DDDDDD"/>
              <w:bottom w:val="single" w:sz="4" w:space="0" w:color="DDDDDD"/>
              <w:right w:val="single" w:sz="4" w:space="0" w:color="DDDDDD"/>
            </w:tcBorders>
            <w:shd w:val="clear" w:color="auto" w:fill="F5F5F5"/>
            <w:vAlign w:val="center"/>
          </w:tcPr>
          <w:p w14:paraId="3981085A" w14:textId="77777777" w:rsidR="00B57D7C" w:rsidRDefault="00000000">
            <w:pPr>
              <w:ind w:left="120"/>
            </w:pPr>
            <w:r>
              <w:rPr>
                <w:rFonts w:ascii="Calibri" w:hAnsi="Calibri"/>
                <w:b/>
                <w:color w:val="1A1A1A"/>
                <w:sz w:val="18"/>
              </w:rPr>
              <w:t>Cache hit behavior</w:t>
            </w:r>
          </w:p>
        </w:tc>
        <w:tc>
          <w:tcPr>
            <w:tcW w:w="6048" w:type="dxa"/>
            <w:tcBorders>
              <w:top w:val="single" w:sz="4" w:space="0" w:color="DDDDDD"/>
              <w:left w:val="single" w:sz="4" w:space="0" w:color="DDDDDD"/>
              <w:bottom w:val="single" w:sz="4" w:space="0" w:color="DDDDDD"/>
              <w:right w:val="single" w:sz="4" w:space="0" w:color="DDDDDD"/>
            </w:tcBorders>
            <w:vAlign w:val="center"/>
          </w:tcPr>
          <w:p w14:paraId="262A473A" w14:textId="77777777" w:rsidR="00B57D7C" w:rsidRDefault="00000000">
            <w:pPr>
              <w:ind w:left="120"/>
            </w:pPr>
            <w:r>
              <w:rPr>
                <w:rFonts w:ascii="Calibri" w:hAnsi="Calibri"/>
                <w:color w:val="444444"/>
                <w:sz w:val="18"/>
              </w:rPr>
              <w:t>Returns cached result instantly, no API call consumed</w:t>
            </w:r>
          </w:p>
        </w:tc>
      </w:tr>
      <w:tr w:rsidR="00B57D7C" w14:paraId="367C125A" w14:textId="77777777">
        <w:tc>
          <w:tcPr>
            <w:tcW w:w="3312" w:type="dxa"/>
            <w:tcBorders>
              <w:top w:val="single" w:sz="4" w:space="0" w:color="DDDDDD"/>
              <w:left w:val="single" w:sz="4" w:space="0" w:color="DDDDDD"/>
              <w:bottom w:val="single" w:sz="4" w:space="0" w:color="DDDDDD"/>
              <w:right w:val="single" w:sz="4" w:space="0" w:color="DDDDDD"/>
            </w:tcBorders>
            <w:shd w:val="clear" w:color="auto" w:fill="F5F5F5"/>
            <w:vAlign w:val="center"/>
          </w:tcPr>
          <w:p w14:paraId="4A49C6C2" w14:textId="77777777" w:rsidR="00B57D7C" w:rsidRDefault="00000000">
            <w:pPr>
              <w:ind w:left="120"/>
            </w:pPr>
            <w:r>
              <w:rPr>
                <w:rFonts w:ascii="Calibri" w:hAnsi="Calibri"/>
                <w:b/>
                <w:color w:val="1A1A1A"/>
                <w:sz w:val="18"/>
              </w:rPr>
              <w:t>Failure handling</w:t>
            </w:r>
          </w:p>
        </w:tc>
        <w:tc>
          <w:tcPr>
            <w:tcW w:w="6048" w:type="dxa"/>
            <w:tcBorders>
              <w:top w:val="single" w:sz="4" w:space="0" w:color="DDDDDD"/>
              <w:left w:val="single" w:sz="4" w:space="0" w:color="DDDDDD"/>
              <w:bottom w:val="single" w:sz="4" w:space="0" w:color="DDDDDD"/>
              <w:right w:val="single" w:sz="4" w:space="0" w:color="DDDDDD"/>
            </w:tcBorders>
            <w:vAlign w:val="center"/>
          </w:tcPr>
          <w:p w14:paraId="0B5AD3CD" w14:textId="77777777" w:rsidR="00B57D7C" w:rsidRDefault="00000000">
            <w:pPr>
              <w:ind w:left="120"/>
            </w:pPr>
            <w:r>
              <w:rPr>
                <w:rFonts w:ascii="Calibri" w:hAnsi="Calibri"/>
                <w:color w:val="444444"/>
                <w:sz w:val="18"/>
              </w:rPr>
              <w:t>Transient failures preserve last good cached data — no stale null</w:t>
            </w:r>
          </w:p>
        </w:tc>
      </w:tr>
    </w:tbl>
    <w:p w14:paraId="50D8C6FC" w14:textId="77777777" w:rsidR="00B57D7C" w:rsidRDefault="00B57D7C"/>
    <w:p w14:paraId="2756858B" w14:textId="77777777" w:rsidR="00B57D7C" w:rsidRDefault="00000000">
      <w:pPr>
        <w:pBdr>
          <w:bottom w:val="single" w:sz="6" w:space="1" w:color="FF6B00"/>
        </w:pBdr>
        <w:spacing w:before="360" w:after="80"/>
      </w:pPr>
      <w:r>
        <w:rPr>
          <w:rFonts w:ascii="Calibri" w:hAnsi="Calibri"/>
          <w:b/>
          <w:color w:val="FF6B00"/>
          <w:sz w:val="32"/>
        </w:rPr>
        <w:t>9. SCRIBE — POST-MORTEM REPORT GENERATION</w:t>
      </w:r>
    </w:p>
    <w:p w14:paraId="3D4DF0B9" w14:textId="77777777" w:rsidR="00B57D7C" w:rsidRDefault="00000000">
      <w:pPr>
        <w:spacing w:before="40" w:after="80"/>
      </w:pPr>
      <w:r>
        <w:rPr>
          <w:rFonts w:ascii="Calibri" w:hAnsi="Calibri"/>
          <w:color w:val="444444"/>
          <w:sz w:val="20"/>
        </w:rPr>
        <w:t>After every council session that results in a trade, Scribe runs as a post-session analyst. It reads the full council transcript and produces a structured post-mortem report saved directly to /reports as a styled HTML file. Reports appear in the dashboard viewer immediately.</w:t>
      </w:r>
    </w:p>
    <w:tbl>
      <w:tblPr>
        <w:tblStyle w:val="TableGrid"/>
        <w:tblW w:w="0" w:type="auto"/>
        <w:tblLook w:val="04A0" w:firstRow="1" w:lastRow="0" w:firstColumn="1" w:lastColumn="0" w:noHBand="0" w:noVBand="1"/>
      </w:tblPr>
      <w:tblGrid>
        <w:gridCol w:w="2592"/>
        <w:gridCol w:w="6768"/>
      </w:tblGrid>
      <w:tr w:rsidR="00B57D7C" w14:paraId="70EF50E3" w14:textId="77777777">
        <w:tc>
          <w:tcPr>
            <w:tcW w:w="2592" w:type="dxa"/>
            <w:tcBorders>
              <w:top w:val="single" w:sz="4" w:space="0" w:color="DDDDDD"/>
              <w:left w:val="single" w:sz="4" w:space="0" w:color="DDDDDD"/>
              <w:bottom w:val="single" w:sz="4" w:space="0" w:color="DDDDDD"/>
              <w:right w:val="single" w:sz="4" w:space="0" w:color="DDDDDD"/>
            </w:tcBorders>
            <w:shd w:val="clear" w:color="auto" w:fill="F5F5F5"/>
            <w:vAlign w:val="center"/>
          </w:tcPr>
          <w:p w14:paraId="7218D121" w14:textId="77777777" w:rsidR="00B57D7C" w:rsidRDefault="00000000">
            <w:pPr>
              <w:ind w:left="120"/>
            </w:pPr>
            <w:r>
              <w:rPr>
                <w:rFonts w:ascii="Calibri" w:hAnsi="Calibri"/>
                <w:b/>
                <w:color w:val="1A1A1A"/>
                <w:sz w:val="18"/>
              </w:rPr>
              <w:t>Output format</w:t>
            </w:r>
          </w:p>
        </w:tc>
        <w:tc>
          <w:tcPr>
            <w:tcW w:w="6768" w:type="dxa"/>
            <w:tcBorders>
              <w:top w:val="single" w:sz="4" w:space="0" w:color="DDDDDD"/>
              <w:left w:val="single" w:sz="4" w:space="0" w:color="DDDDDD"/>
              <w:bottom w:val="single" w:sz="4" w:space="0" w:color="DDDDDD"/>
              <w:right w:val="single" w:sz="4" w:space="0" w:color="DDDDDD"/>
            </w:tcBorders>
            <w:vAlign w:val="center"/>
          </w:tcPr>
          <w:p w14:paraId="3D1BDCB8" w14:textId="77777777" w:rsidR="00B57D7C" w:rsidRDefault="00000000">
            <w:pPr>
              <w:ind w:left="120"/>
            </w:pPr>
            <w:r>
              <w:rPr>
                <w:rFonts w:ascii="Calibri" w:hAnsi="Calibri"/>
                <w:color w:val="444444"/>
                <w:sz w:val="18"/>
              </w:rPr>
              <w:t>Styled HTML — renders natively in the RedLine dashboard modal</w:t>
            </w:r>
          </w:p>
        </w:tc>
      </w:tr>
      <w:tr w:rsidR="00B57D7C" w14:paraId="7D64D9AB" w14:textId="77777777">
        <w:tc>
          <w:tcPr>
            <w:tcW w:w="2592" w:type="dxa"/>
            <w:tcBorders>
              <w:top w:val="single" w:sz="4" w:space="0" w:color="DDDDDD"/>
              <w:left w:val="single" w:sz="4" w:space="0" w:color="DDDDDD"/>
              <w:bottom w:val="single" w:sz="4" w:space="0" w:color="DDDDDD"/>
              <w:right w:val="single" w:sz="4" w:space="0" w:color="DDDDDD"/>
            </w:tcBorders>
            <w:shd w:val="clear" w:color="auto" w:fill="F5F5F5"/>
            <w:vAlign w:val="center"/>
          </w:tcPr>
          <w:p w14:paraId="27FF10B3" w14:textId="77777777" w:rsidR="00B57D7C" w:rsidRDefault="00000000">
            <w:pPr>
              <w:ind w:left="120"/>
            </w:pPr>
            <w:r>
              <w:rPr>
                <w:rFonts w:ascii="Calibri" w:hAnsi="Calibri"/>
                <w:b/>
                <w:color w:val="1A1A1A"/>
                <w:sz w:val="18"/>
              </w:rPr>
              <w:t>Filename</w:t>
            </w:r>
          </w:p>
        </w:tc>
        <w:tc>
          <w:tcPr>
            <w:tcW w:w="6768" w:type="dxa"/>
            <w:tcBorders>
              <w:top w:val="single" w:sz="4" w:space="0" w:color="DDDDDD"/>
              <w:left w:val="single" w:sz="4" w:space="0" w:color="DDDDDD"/>
              <w:bottom w:val="single" w:sz="4" w:space="0" w:color="DDDDDD"/>
              <w:right w:val="single" w:sz="4" w:space="0" w:color="DDDDDD"/>
            </w:tcBorders>
            <w:vAlign w:val="center"/>
          </w:tcPr>
          <w:p w14:paraId="7F305CCB" w14:textId="77777777" w:rsidR="00B57D7C" w:rsidRDefault="00000000">
            <w:pPr>
              <w:ind w:left="120"/>
            </w:pPr>
            <w:r>
              <w:rPr>
                <w:rFonts w:ascii="Calibri" w:hAnsi="Calibri"/>
                <w:color w:val="444444"/>
                <w:sz w:val="18"/>
              </w:rPr>
              <w:t>YYYY-MM-DDTHH-mm-ss_TICKER_Report.html (e.g. 2026-04-10T14-32-00_NVDA_Report.html)</w:t>
            </w:r>
          </w:p>
        </w:tc>
      </w:tr>
      <w:tr w:rsidR="00B57D7C" w14:paraId="1B8F33AA" w14:textId="77777777">
        <w:tc>
          <w:tcPr>
            <w:tcW w:w="2592" w:type="dxa"/>
            <w:tcBorders>
              <w:top w:val="single" w:sz="4" w:space="0" w:color="DDDDDD"/>
              <w:left w:val="single" w:sz="4" w:space="0" w:color="DDDDDD"/>
              <w:bottom w:val="single" w:sz="4" w:space="0" w:color="DDDDDD"/>
              <w:right w:val="single" w:sz="4" w:space="0" w:color="DDDDDD"/>
            </w:tcBorders>
            <w:shd w:val="clear" w:color="auto" w:fill="F5F5F5"/>
            <w:vAlign w:val="center"/>
          </w:tcPr>
          <w:p w14:paraId="20FF7420" w14:textId="77777777" w:rsidR="00B57D7C" w:rsidRDefault="00000000">
            <w:pPr>
              <w:ind w:left="120"/>
            </w:pPr>
            <w:r>
              <w:rPr>
                <w:rFonts w:ascii="Calibri" w:hAnsi="Calibri"/>
                <w:b/>
                <w:color w:val="1A1A1A"/>
                <w:sz w:val="18"/>
              </w:rPr>
              <w:t>Label in viewer</w:t>
            </w:r>
          </w:p>
        </w:tc>
        <w:tc>
          <w:tcPr>
            <w:tcW w:w="6768" w:type="dxa"/>
            <w:tcBorders>
              <w:top w:val="single" w:sz="4" w:space="0" w:color="DDDDDD"/>
              <w:left w:val="single" w:sz="4" w:space="0" w:color="DDDDDD"/>
              <w:bottom w:val="single" w:sz="4" w:space="0" w:color="DDDDDD"/>
              <w:right w:val="single" w:sz="4" w:space="0" w:color="DDDDDD"/>
            </w:tcBorders>
            <w:vAlign w:val="center"/>
          </w:tcPr>
          <w:p w14:paraId="0316C4F9" w14:textId="77777777" w:rsidR="00B57D7C" w:rsidRDefault="00000000">
            <w:pPr>
              <w:ind w:left="120"/>
            </w:pPr>
            <w:r>
              <w:rPr>
                <w:rFonts w:ascii="Calibri" w:hAnsi="Calibri"/>
                <w:color w:val="444444"/>
                <w:sz w:val="18"/>
              </w:rPr>
              <w:t>TRADE REPORT — shown in red, listed newest first</w:t>
            </w:r>
          </w:p>
        </w:tc>
      </w:tr>
      <w:tr w:rsidR="00B57D7C" w14:paraId="591DA802" w14:textId="77777777">
        <w:tc>
          <w:tcPr>
            <w:tcW w:w="2592" w:type="dxa"/>
            <w:tcBorders>
              <w:top w:val="single" w:sz="4" w:space="0" w:color="DDDDDD"/>
              <w:left w:val="single" w:sz="4" w:space="0" w:color="DDDDDD"/>
              <w:bottom w:val="single" w:sz="4" w:space="0" w:color="DDDDDD"/>
              <w:right w:val="single" w:sz="4" w:space="0" w:color="DDDDDD"/>
            </w:tcBorders>
            <w:shd w:val="clear" w:color="auto" w:fill="F5F5F5"/>
            <w:vAlign w:val="center"/>
          </w:tcPr>
          <w:p w14:paraId="5FBDC4DE" w14:textId="77777777" w:rsidR="00B57D7C" w:rsidRDefault="00000000">
            <w:pPr>
              <w:ind w:left="120"/>
            </w:pPr>
            <w:r>
              <w:rPr>
                <w:rFonts w:ascii="Calibri" w:hAnsi="Calibri"/>
                <w:b/>
                <w:color w:val="1A1A1A"/>
                <w:sz w:val="18"/>
              </w:rPr>
              <w:t>KPI bar</w:t>
            </w:r>
          </w:p>
        </w:tc>
        <w:tc>
          <w:tcPr>
            <w:tcW w:w="6768" w:type="dxa"/>
            <w:tcBorders>
              <w:top w:val="single" w:sz="4" w:space="0" w:color="DDDDDD"/>
              <w:left w:val="single" w:sz="4" w:space="0" w:color="DDDDDD"/>
              <w:bottom w:val="single" w:sz="4" w:space="0" w:color="DDDDDD"/>
              <w:right w:val="single" w:sz="4" w:space="0" w:color="DDDDDD"/>
            </w:tcBorders>
            <w:vAlign w:val="center"/>
          </w:tcPr>
          <w:p w14:paraId="0E366DC4" w14:textId="77777777" w:rsidR="00B57D7C" w:rsidRDefault="00000000">
            <w:pPr>
              <w:ind w:left="120"/>
            </w:pPr>
            <w:r>
              <w:rPr>
                <w:rFonts w:ascii="Calibri" w:hAnsi="Calibri"/>
                <w:color w:val="444444"/>
                <w:sz w:val="18"/>
              </w:rPr>
              <w:t>Ticker, Action (BUY/SELL/WAIT), Session Grade (A–F), Council Score, per-agent scores</w:t>
            </w:r>
          </w:p>
        </w:tc>
      </w:tr>
      <w:tr w:rsidR="00B57D7C" w14:paraId="48B02C10" w14:textId="77777777">
        <w:tc>
          <w:tcPr>
            <w:tcW w:w="2592" w:type="dxa"/>
            <w:tcBorders>
              <w:top w:val="single" w:sz="4" w:space="0" w:color="DDDDDD"/>
              <w:left w:val="single" w:sz="4" w:space="0" w:color="DDDDDD"/>
              <w:bottom w:val="single" w:sz="4" w:space="0" w:color="DDDDDD"/>
              <w:right w:val="single" w:sz="4" w:space="0" w:color="DDDDDD"/>
            </w:tcBorders>
            <w:shd w:val="clear" w:color="auto" w:fill="F5F5F5"/>
            <w:vAlign w:val="center"/>
          </w:tcPr>
          <w:p w14:paraId="61C32A38" w14:textId="77777777" w:rsidR="00B57D7C" w:rsidRDefault="00000000">
            <w:pPr>
              <w:ind w:left="120"/>
            </w:pPr>
            <w:r>
              <w:rPr>
                <w:rFonts w:ascii="Calibri" w:hAnsi="Calibri"/>
                <w:b/>
                <w:color w:val="1A1A1A"/>
                <w:sz w:val="18"/>
              </w:rPr>
              <w:t>Sections</w:t>
            </w:r>
          </w:p>
        </w:tc>
        <w:tc>
          <w:tcPr>
            <w:tcW w:w="6768" w:type="dxa"/>
            <w:tcBorders>
              <w:top w:val="single" w:sz="4" w:space="0" w:color="DDDDDD"/>
              <w:left w:val="single" w:sz="4" w:space="0" w:color="DDDDDD"/>
              <w:bottom w:val="single" w:sz="4" w:space="0" w:color="DDDDDD"/>
              <w:right w:val="single" w:sz="4" w:space="0" w:color="DDDDDD"/>
            </w:tcBorders>
            <w:vAlign w:val="center"/>
          </w:tcPr>
          <w:p w14:paraId="173789DA" w14:textId="77777777" w:rsidR="00B57D7C" w:rsidRDefault="00000000">
            <w:pPr>
              <w:ind w:left="120"/>
            </w:pPr>
            <w:r>
              <w:rPr>
                <w:rFonts w:ascii="Calibri" w:hAnsi="Calibri"/>
                <w:color w:val="444444"/>
                <w:sz w:val="18"/>
              </w:rPr>
              <w:t>1. Executive Summary  2. Intelligence Inputs  3. Debate Transcript  4. Final Verdict  5. Council Ratings  6. Strategic Notes</w:t>
            </w:r>
          </w:p>
        </w:tc>
      </w:tr>
      <w:tr w:rsidR="00B57D7C" w14:paraId="45A364AB" w14:textId="77777777">
        <w:tc>
          <w:tcPr>
            <w:tcW w:w="2592" w:type="dxa"/>
            <w:tcBorders>
              <w:top w:val="single" w:sz="4" w:space="0" w:color="DDDDDD"/>
              <w:left w:val="single" w:sz="4" w:space="0" w:color="DDDDDD"/>
              <w:bottom w:val="single" w:sz="4" w:space="0" w:color="DDDDDD"/>
              <w:right w:val="single" w:sz="4" w:space="0" w:color="DDDDDD"/>
            </w:tcBorders>
            <w:shd w:val="clear" w:color="auto" w:fill="F5F5F5"/>
            <w:vAlign w:val="center"/>
          </w:tcPr>
          <w:p w14:paraId="299740AC" w14:textId="77777777" w:rsidR="00B57D7C" w:rsidRDefault="00000000">
            <w:pPr>
              <w:ind w:left="120"/>
            </w:pPr>
            <w:r>
              <w:rPr>
                <w:rFonts w:ascii="Calibri" w:hAnsi="Calibri"/>
                <w:b/>
                <w:color w:val="1A1A1A"/>
                <w:sz w:val="18"/>
              </w:rPr>
              <w:t>Agent ratings</w:t>
            </w:r>
          </w:p>
        </w:tc>
        <w:tc>
          <w:tcPr>
            <w:tcW w:w="6768" w:type="dxa"/>
            <w:tcBorders>
              <w:top w:val="single" w:sz="4" w:space="0" w:color="DDDDDD"/>
              <w:left w:val="single" w:sz="4" w:space="0" w:color="DDDDDD"/>
              <w:bottom w:val="single" w:sz="4" w:space="0" w:color="DDDDDD"/>
              <w:right w:val="single" w:sz="4" w:space="0" w:color="DDDDDD"/>
            </w:tcBorders>
            <w:vAlign w:val="center"/>
          </w:tcPr>
          <w:p w14:paraId="2A98DEAD" w14:textId="77777777" w:rsidR="00B57D7C" w:rsidRDefault="00000000">
            <w:pPr>
              <w:ind w:left="120"/>
            </w:pPr>
            <w:r>
              <w:rPr>
                <w:rFonts w:ascii="Calibri" w:hAnsi="Calibri"/>
                <w:color w:val="444444"/>
                <w:sz w:val="18"/>
              </w:rPr>
              <w:t>Each of Scout, Phi, Theta, Gregor scored X/10 on accuracy, reasoning, and strategic alignment</w:t>
            </w:r>
          </w:p>
        </w:tc>
      </w:tr>
      <w:tr w:rsidR="00B57D7C" w14:paraId="53725557" w14:textId="77777777">
        <w:tc>
          <w:tcPr>
            <w:tcW w:w="2592" w:type="dxa"/>
            <w:tcBorders>
              <w:top w:val="single" w:sz="4" w:space="0" w:color="DDDDDD"/>
              <w:left w:val="single" w:sz="4" w:space="0" w:color="DDDDDD"/>
              <w:bottom w:val="single" w:sz="4" w:space="0" w:color="DDDDDD"/>
              <w:right w:val="single" w:sz="4" w:space="0" w:color="DDDDDD"/>
            </w:tcBorders>
            <w:shd w:val="clear" w:color="auto" w:fill="F5F5F5"/>
            <w:vAlign w:val="center"/>
          </w:tcPr>
          <w:p w14:paraId="2859DB73" w14:textId="77777777" w:rsidR="00B57D7C" w:rsidRDefault="00000000">
            <w:pPr>
              <w:ind w:left="120"/>
            </w:pPr>
            <w:r>
              <w:rPr>
                <w:rFonts w:ascii="Calibri" w:hAnsi="Calibri"/>
                <w:b/>
                <w:color w:val="1A1A1A"/>
                <w:sz w:val="18"/>
              </w:rPr>
              <w:t>Forward notes</w:t>
            </w:r>
          </w:p>
        </w:tc>
        <w:tc>
          <w:tcPr>
            <w:tcW w:w="6768" w:type="dxa"/>
            <w:tcBorders>
              <w:top w:val="single" w:sz="4" w:space="0" w:color="DDDDDD"/>
              <w:left w:val="single" w:sz="4" w:space="0" w:color="DDDDDD"/>
              <w:bottom w:val="single" w:sz="4" w:space="0" w:color="DDDDDD"/>
              <w:right w:val="single" w:sz="4" w:space="0" w:color="DDDDDD"/>
            </w:tcBorders>
            <w:vAlign w:val="center"/>
          </w:tcPr>
          <w:p w14:paraId="1A4490C3" w14:textId="77777777" w:rsidR="00B57D7C" w:rsidRDefault="00000000">
            <w:pPr>
              <w:ind w:left="120"/>
            </w:pPr>
            <w:r>
              <w:rPr>
                <w:rFonts w:ascii="Calibri" w:hAnsi="Calibri"/>
                <w:color w:val="444444"/>
                <w:sz w:val="18"/>
              </w:rPr>
              <w:t>Section 6 captures thesis validation timelines, exit conditions, and one improvement rec</w:t>
            </w:r>
          </w:p>
        </w:tc>
      </w:tr>
    </w:tbl>
    <w:p w14:paraId="6440D5E7" w14:textId="77777777" w:rsidR="00B57D7C" w:rsidRDefault="00B57D7C"/>
    <w:p w14:paraId="265ADCF4" w14:textId="77777777" w:rsidR="00B57D7C" w:rsidRDefault="00000000">
      <w:pPr>
        <w:pBdr>
          <w:bottom w:val="single" w:sz="6" w:space="1" w:color="FF6B00"/>
        </w:pBdr>
        <w:spacing w:before="360" w:after="80"/>
      </w:pPr>
      <w:r>
        <w:rPr>
          <w:rFonts w:ascii="Calibri" w:hAnsi="Calibri"/>
          <w:b/>
          <w:color w:val="FF6B00"/>
          <w:sz w:val="32"/>
        </w:rPr>
        <w:t>10. DASHBOARD REPORT VIEWER</w:t>
      </w:r>
    </w:p>
    <w:p w14:paraId="06DB54E9" w14:textId="77777777" w:rsidR="00B57D7C" w:rsidRDefault="00000000">
      <w:pPr>
        <w:spacing w:before="40" w:after="80"/>
      </w:pPr>
      <w:r>
        <w:rPr>
          <w:rFonts w:ascii="Calibri" w:hAnsi="Calibri"/>
          <w:color w:val="444444"/>
          <w:sz w:val="20"/>
        </w:rPr>
        <w:t>All reports — Scribe trade post-mortems, daily performance reviews, and uploaded documents — are served through a unified report viewer in the RedLine dashboard.</w:t>
      </w:r>
    </w:p>
    <w:tbl>
      <w:tblPr>
        <w:tblStyle w:val="TableGrid"/>
        <w:tblW w:w="0" w:type="auto"/>
        <w:tblLook w:val="04A0" w:firstRow="1" w:lastRow="0" w:firstColumn="1" w:lastColumn="0" w:noHBand="0" w:noVBand="1"/>
      </w:tblPr>
      <w:tblGrid>
        <w:gridCol w:w="2592"/>
        <w:gridCol w:w="6768"/>
      </w:tblGrid>
      <w:tr w:rsidR="00B57D7C" w14:paraId="1A246FBF" w14:textId="77777777">
        <w:tc>
          <w:tcPr>
            <w:tcW w:w="2592" w:type="dxa"/>
            <w:tcBorders>
              <w:top w:val="single" w:sz="4" w:space="0" w:color="DDDDDD"/>
              <w:left w:val="single" w:sz="4" w:space="0" w:color="DDDDDD"/>
              <w:bottom w:val="single" w:sz="4" w:space="0" w:color="DDDDDD"/>
              <w:right w:val="single" w:sz="4" w:space="0" w:color="DDDDDD"/>
            </w:tcBorders>
            <w:shd w:val="clear" w:color="auto" w:fill="F5F5F5"/>
            <w:vAlign w:val="center"/>
          </w:tcPr>
          <w:p w14:paraId="27552113" w14:textId="77777777" w:rsidR="00B57D7C" w:rsidRDefault="00000000">
            <w:pPr>
              <w:ind w:left="120"/>
            </w:pPr>
            <w:r>
              <w:rPr>
                <w:rFonts w:ascii="Calibri" w:hAnsi="Calibri"/>
                <w:b/>
                <w:color w:val="1A1A1A"/>
                <w:sz w:val="18"/>
              </w:rPr>
              <w:t>Filter bar</w:t>
            </w:r>
          </w:p>
        </w:tc>
        <w:tc>
          <w:tcPr>
            <w:tcW w:w="6768" w:type="dxa"/>
            <w:tcBorders>
              <w:top w:val="single" w:sz="4" w:space="0" w:color="DDDDDD"/>
              <w:left w:val="single" w:sz="4" w:space="0" w:color="DDDDDD"/>
              <w:bottom w:val="single" w:sz="4" w:space="0" w:color="DDDDDD"/>
              <w:right w:val="single" w:sz="4" w:space="0" w:color="DDDDDD"/>
            </w:tcBorders>
            <w:vAlign w:val="center"/>
          </w:tcPr>
          <w:p w14:paraId="07E292BF" w14:textId="77777777" w:rsidR="00B57D7C" w:rsidRDefault="00000000">
            <w:pPr>
              <w:ind w:left="120"/>
            </w:pPr>
            <w:r>
              <w:rPr>
                <w:rFonts w:ascii="Calibri" w:hAnsi="Calibri"/>
                <w:color w:val="444444"/>
                <w:sz w:val="18"/>
              </w:rPr>
              <w:t>ALL / REVIEWS / TRADES / DOCS — filters report list by type</w:t>
            </w:r>
          </w:p>
        </w:tc>
      </w:tr>
      <w:tr w:rsidR="00B57D7C" w14:paraId="66B5A704" w14:textId="77777777">
        <w:tc>
          <w:tcPr>
            <w:tcW w:w="2592" w:type="dxa"/>
            <w:tcBorders>
              <w:top w:val="single" w:sz="4" w:space="0" w:color="DDDDDD"/>
              <w:left w:val="single" w:sz="4" w:space="0" w:color="DDDDDD"/>
              <w:bottom w:val="single" w:sz="4" w:space="0" w:color="DDDDDD"/>
              <w:right w:val="single" w:sz="4" w:space="0" w:color="DDDDDD"/>
            </w:tcBorders>
            <w:shd w:val="clear" w:color="auto" w:fill="F5F5F5"/>
            <w:vAlign w:val="center"/>
          </w:tcPr>
          <w:p w14:paraId="02DFBB5F" w14:textId="77777777" w:rsidR="00B57D7C" w:rsidRDefault="00000000">
            <w:pPr>
              <w:ind w:left="120"/>
            </w:pPr>
            <w:r>
              <w:rPr>
                <w:rFonts w:ascii="Calibri" w:hAnsi="Calibri"/>
                <w:b/>
                <w:color w:val="1A1A1A"/>
                <w:sz w:val="18"/>
              </w:rPr>
              <w:t>Modal viewer</w:t>
            </w:r>
          </w:p>
        </w:tc>
        <w:tc>
          <w:tcPr>
            <w:tcW w:w="6768" w:type="dxa"/>
            <w:tcBorders>
              <w:top w:val="single" w:sz="4" w:space="0" w:color="DDDDDD"/>
              <w:left w:val="single" w:sz="4" w:space="0" w:color="DDDDDD"/>
              <w:bottom w:val="single" w:sz="4" w:space="0" w:color="DDDDDD"/>
              <w:right w:val="single" w:sz="4" w:space="0" w:color="DDDDDD"/>
            </w:tcBorders>
            <w:vAlign w:val="center"/>
          </w:tcPr>
          <w:p w14:paraId="5C23DBD7" w14:textId="77777777" w:rsidR="00B57D7C" w:rsidRDefault="00000000">
            <w:pPr>
              <w:ind w:left="120"/>
            </w:pPr>
            <w:r>
              <w:rPr>
                <w:rFonts w:ascii="Calibri" w:hAnsi="Calibri"/>
                <w:color w:val="444444"/>
                <w:sz w:val="18"/>
              </w:rPr>
              <w:t>Click any report to open it inline — styled HTML renders with full formatting</w:t>
            </w:r>
          </w:p>
        </w:tc>
      </w:tr>
      <w:tr w:rsidR="00B57D7C" w14:paraId="0682CD30" w14:textId="77777777">
        <w:tc>
          <w:tcPr>
            <w:tcW w:w="2592" w:type="dxa"/>
            <w:tcBorders>
              <w:top w:val="single" w:sz="4" w:space="0" w:color="DDDDDD"/>
              <w:left w:val="single" w:sz="4" w:space="0" w:color="DDDDDD"/>
              <w:bottom w:val="single" w:sz="4" w:space="0" w:color="DDDDDD"/>
              <w:right w:val="single" w:sz="4" w:space="0" w:color="DDDDDD"/>
            </w:tcBorders>
            <w:shd w:val="clear" w:color="auto" w:fill="F5F5F5"/>
            <w:vAlign w:val="center"/>
          </w:tcPr>
          <w:p w14:paraId="61D5221D" w14:textId="77777777" w:rsidR="00B57D7C" w:rsidRDefault="00000000">
            <w:pPr>
              <w:ind w:left="120"/>
            </w:pPr>
            <w:r>
              <w:rPr>
                <w:rFonts w:ascii="Calibri" w:hAnsi="Calibri"/>
                <w:b/>
                <w:color w:val="1A1A1A"/>
                <w:sz w:val="18"/>
              </w:rPr>
              <w:t>Navigation</w:t>
            </w:r>
          </w:p>
        </w:tc>
        <w:tc>
          <w:tcPr>
            <w:tcW w:w="6768" w:type="dxa"/>
            <w:tcBorders>
              <w:top w:val="single" w:sz="4" w:space="0" w:color="DDDDDD"/>
              <w:left w:val="single" w:sz="4" w:space="0" w:color="DDDDDD"/>
              <w:bottom w:val="single" w:sz="4" w:space="0" w:color="DDDDDD"/>
              <w:right w:val="single" w:sz="4" w:space="0" w:color="DDDDDD"/>
            </w:tcBorders>
            <w:vAlign w:val="center"/>
          </w:tcPr>
          <w:p w14:paraId="488A8E52" w14:textId="77777777" w:rsidR="00B57D7C" w:rsidRDefault="00000000">
            <w:pPr>
              <w:ind w:left="120"/>
            </w:pPr>
            <w:r>
              <w:rPr>
                <w:rFonts w:ascii="Calibri" w:hAnsi="Calibri"/>
                <w:color w:val="444444"/>
                <w:sz w:val="18"/>
              </w:rPr>
              <w:t>Arrow buttons or keyboard ← → to move between reports in the current filter</w:t>
            </w:r>
          </w:p>
        </w:tc>
      </w:tr>
      <w:tr w:rsidR="00B57D7C" w14:paraId="004168AC" w14:textId="77777777">
        <w:tc>
          <w:tcPr>
            <w:tcW w:w="2592" w:type="dxa"/>
            <w:tcBorders>
              <w:top w:val="single" w:sz="4" w:space="0" w:color="DDDDDD"/>
              <w:left w:val="single" w:sz="4" w:space="0" w:color="DDDDDD"/>
              <w:bottom w:val="single" w:sz="4" w:space="0" w:color="DDDDDD"/>
              <w:right w:val="single" w:sz="4" w:space="0" w:color="DDDDDD"/>
            </w:tcBorders>
            <w:shd w:val="clear" w:color="auto" w:fill="F5F5F5"/>
            <w:vAlign w:val="center"/>
          </w:tcPr>
          <w:p w14:paraId="63066567" w14:textId="77777777" w:rsidR="00B57D7C" w:rsidRDefault="00000000">
            <w:pPr>
              <w:ind w:left="120"/>
            </w:pPr>
            <w:r>
              <w:rPr>
                <w:rFonts w:ascii="Calibri" w:hAnsi="Calibri"/>
                <w:b/>
                <w:color w:val="1A1A1A"/>
                <w:sz w:val="18"/>
              </w:rPr>
              <w:t>Delete button</w:t>
            </w:r>
          </w:p>
        </w:tc>
        <w:tc>
          <w:tcPr>
            <w:tcW w:w="6768" w:type="dxa"/>
            <w:tcBorders>
              <w:top w:val="single" w:sz="4" w:space="0" w:color="DDDDDD"/>
              <w:left w:val="single" w:sz="4" w:space="0" w:color="DDDDDD"/>
              <w:bottom w:val="single" w:sz="4" w:space="0" w:color="DDDDDD"/>
              <w:right w:val="single" w:sz="4" w:space="0" w:color="DDDDDD"/>
            </w:tcBorders>
            <w:vAlign w:val="center"/>
          </w:tcPr>
          <w:p w14:paraId="076D1EC0" w14:textId="77777777" w:rsidR="00B57D7C" w:rsidRDefault="00000000">
            <w:pPr>
              <w:ind w:left="120"/>
            </w:pPr>
            <w:r>
              <w:rPr>
                <w:rFonts w:ascii="Calibri" w:hAnsi="Calibri"/>
                <w:color w:val="444444"/>
                <w:sz w:val="18"/>
              </w:rPr>
              <w:t>Hover a report row to reveal the delete button — removes HTML + DOCX twin</w:t>
            </w:r>
          </w:p>
        </w:tc>
      </w:tr>
      <w:tr w:rsidR="00B57D7C" w14:paraId="3E36EFAB" w14:textId="77777777">
        <w:tc>
          <w:tcPr>
            <w:tcW w:w="2592" w:type="dxa"/>
            <w:tcBorders>
              <w:top w:val="single" w:sz="4" w:space="0" w:color="DDDDDD"/>
              <w:left w:val="single" w:sz="4" w:space="0" w:color="DDDDDD"/>
              <w:bottom w:val="single" w:sz="4" w:space="0" w:color="DDDDDD"/>
              <w:right w:val="single" w:sz="4" w:space="0" w:color="DDDDDD"/>
            </w:tcBorders>
            <w:shd w:val="clear" w:color="auto" w:fill="F5F5F5"/>
            <w:vAlign w:val="center"/>
          </w:tcPr>
          <w:p w14:paraId="68593572" w14:textId="77777777" w:rsidR="00B57D7C" w:rsidRDefault="00000000">
            <w:pPr>
              <w:ind w:left="120"/>
            </w:pPr>
            <w:r>
              <w:rPr>
                <w:rFonts w:ascii="Calibri" w:hAnsi="Calibri"/>
                <w:b/>
                <w:color w:val="1A1A1A"/>
                <w:sz w:val="18"/>
              </w:rPr>
              <w:t>Download</w:t>
            </w:r>
          </w:p>
        </w:tc>
        <w:tc>
          <w:tcPr>
            <w:tcW w:w="6768" w:type="dxa"/>
            <w:tcBorders>
              <w:top w:val="single" w:sz="4" w:space="0" w:color="DDDDDD"/>
              <w:left w:val="single" w:sz="4" w:space="0" w:color="DDDDDD"/>
              <w:bottom w:val="single" w:sz="4" w:space="0" w:color="DDDDDD"/>
              <w:right w:val="single" w:sz="4" w:space="0" w:color="DDDDDD"/>
            </w:tcBorders>
            <w:vAlign w:val="center"/>
          </w:tcPr>
          <w:p w14:paraId="416441A3" w14:textId="77777777" w:rsidR="00B57D7C" w:rsidRDefault="00000000">
            <w:pPr>
              <w:ind w:left="120"/>
            </w:pPr>
            <w:r>
              <w:rPr>
                <w:rFonts w:ascii="Calibri" w:hAnsi="Calibri"/>
                <w:color w:val="444444"/>
                <w:sz w:val="18"/>
              </w:rPr>
              <w:t>⬇ DOWNLOAD .DOCX button inside every REVIEW modal — triggers binary download</w:t>
            </w:r>
          </w:p>
        </w:tc>
      </w:tr>
      <w:tr w:rsidR="00B57D7C" w14:paraId="0E292F4E" w14:textId="77777777">
        <w:tc>
          <w:tcPr>
            <w:tcW w:w="2592" w:type="dxa"/>
            <w:tcBorders>
              <w:top w:val="single" w:sz="4" w:space="0" w:color="DDDDDD"/>
              <w:left w:val="single" w:sz="4" w:space="0" w:color="DDDDDD"/>
              <w:bottom w:val="single" w:sz="4" w:space="0" w:color="DDDDDD"/>
              <w:right w:val="single" w:sz="4" w:space="0" w:color="DDDDDD"/>
            </w:tcBorders>
            <w:shd w:val="clear" w:color="auto" w:fill="F5F5F5"/>
            <w:vAlign w:val="center"/>
          </w:tcPr>
          <w:p w14:paraId="5C954AB6" w14:textId="77777777" w:rsidR="00B57D7C" w:rsidRDefault="00000000">
            <w:pPr>
              <w:ind w:left="120"/>
            </w:pPr>
            <w:r>
              <w:rPr>
                <w:rFonts w:ascii="Calibri" w:hAnsi="Calibri"/>
                <w:b/>
                <w:color w:val="1A1A1A"/>
                <w:sz w:val="18"/>
              </w:rPr>
              <w:t>Deduplication</w:t>
            </w:r>
          </w:p>
        </w:tc>
        <w:tc>
          <w:tcPr>
            <w:tcW w:w="6768" w:type="dxa"/>
            <w:tcBorders>
              <w:top w:val="single" w:sz="4" w:space="0" w:color="DDDDDD"/>
              <w:left w:val="single" w:sz="4" w:space="0" w:color="DDDDDD"/>
              <w:bottom w:val="single" w:sz="4" w:space="0" w:color="DDDDDD"/>
              <w:right w:val="single" w:sz="4" w:space="0" w:color="DDDDDD"/>
            </w:tcBorders>
            <w:vAlign w:val="center"/>
          </w:tcPr>
          <w:p w14:paraId="66600EEB" w14:textId="77777777" w:rsidR="00B57D7C" w:rsidRDefault="00000000">
            <w:pPr>
              <w:ind w:left="120"/>
            </w:pPr>
            <w:r>
              <w:rPr>
                <w:rFonts w:ascii="Calibri" w:hAnsi="Calibri"/>
                <w:color w:val="444444"/>
                <w:sz w:val="18"/>
              </w:rPr>
              <w:t>Performance reviews only regenerate when new resolved decisions exist since the last run</w:t>
            </w:r>
          </w:p>
        </w:tc>
      </w:tr>
      <w:tr w:rsidR="00B57D7C" w14:paraId="0151058F" w14:textId="77777777">
        <w:tc>
          <w:tcPr>
            <w:tcW w:w="2592" w:type="dxa"/>
            <w:tcBorders>
              <w:top w:val="single" w:sz="4" w:space="0" w:color="DDDDDD"/>
              <w:left w:val="single" w:sz="4" w:space="0" w:color="DDDDDD"/>
              <w:bottom w:val="single" w:sz="4" w:space="0" w:color="DDDDDD"/>
              <w:right w:val="single" w:sz="4" w:space="0" w:color="DDDDDD"/>
            </w:tcBorders>
            <w:shd w:val="clear" w:color="auto" w:fill="F5F5F5"/>
            <w:vAlign w:val="center"/>
          </w:tcPr>
          <w:p w14:paraId="5D088652" w14:textId="77777777" w:rsidR="00B57D7C" w:rsidRDefault="00000000">
            <w:pPr>
              <w:ind w:left="120"/>
            </w:pPr>
            <w:r>
              <w:rPr>
                <w:rFonts w:ascii="Calibri" w:hAnsi="Calibri"/>
                <w:b/>
                <w:color w:val="1A1A1A"/>
                <w:sz w:val="18"/>
              </w:rPr>
              <w:lastRenderedPageBreak/>
              <w:t>Trade reports</w:t>
            </w:r>
          </w:p>
        </w:tc>
        <w:tc>
          <w:tcPr>
            <w:tcW w:w="6768" w:type="dxa"/>
            <w:tcBorders>
              <w:top w:val="single" w:sz="4" w:space="0" w:color="DDDDDD"/>
              <w:left w:val="single" w:sz="4" w:space="0" w:color="DDDDDD"/>
              <w:bottom w:val="single" w:sz="4" w:space="0" w:color="DDDDDD"/>
              <w:right w:val="single" w:sz="4" w:space="0" w:color="DDDDDD"/>
            </w:tcBorders>
            <w:vAlign w:val="center"/>
          </w:tcPr>
          <w:p w14:paraId="2B15E077" w14:textId="77777777" w:rsidR="00B57D7C" w:rsidRDefault="00000000">
            <w:pPr>
              <w:ind w:left="120"/>
            </w:pPr>
            <w:r>
              <w:rPr>
                <w:rFonts w:ascii="Calibri" w:hAnsi="Calibri"/>
                <w:color w:val="444444"/>
                <w:sz w:val="18"/>
              </w:rPr>
              <w:t>No dedup — every trade session that fires a verdict generates one report</w:t>
            </w:r>
          </w:p>
        </w:tc>
      </w:tr>
    </w:tbl>
    <w:p w14:paraId="1C4EE7A3" w14:textId="77777777" w:rsidR="00B57D7C" w:rsidRDefault="00B57D7C"/>
    <w:p w14:paraId="1A1923E5" w14:textId="77777777" w:rsidR="00B57D7C" w:rsidRDefault="00000000">
      <w:pPr>
        <w:pBdr>
          <w:bottom w:val="single" w:sz="6" w:space="1" w:color="FF6B00"/>
        </w:pBdr>
        <w:spacing w:before="360" w:after="80"/>
      </w:pPr>
      <w:r>
        <w:rPr>
          <w:rFonts w:ascii="Calibri" w:hAnsi="Calibri"/>
          <w:b/>
          <w:color w:val="FF6B00"/>
          <w:sz w:val="32"/>
        </w:rPr>
        <w:t>11. MECHANICAL STOP-LOSS WATCHER</w:t>
      </w:r>
    </w:p>
    <w:p w14:paraId="5182D8B3" w14:textId="77777777" w:rsidR="00B57D7C" w:rsidRDefault="00000000">
      <w:pPr>
        <w:spacing w:before="40" w:after="80"/>
      </w:pPr>
      <w:r>
        <w:rPr>
          <w:rFonts w:ascii="Calibri" w:hAnsi="Calibri"/>
          <w:color w:val="444444"/>
          <w:sz w:val="20"/>
        </w:rPr>
        <w:t>The stop-loss watcher runs completely independently of the council sweep — no LLM, no debate. It polls every 90 seconds during market hours and fires hard exits the moment a position breaches a threshold. The council cannot override it.</w:t>
      </w:r>
    </w:p>
    <w:p w14:paraId="23C03EAE" w14:textId="77777777" w:rsidR="00B57D7C" w:rsidRDefault="00000000">
      <w:pPr>
        <w:spacing w:before="40" w:after="80"/>
      </w:pPr>
      <w:r>
        <w:rPr>
          <w:rFonts w:ascii="Calibri" w:hAnsi="Calibri"/>
          <w:color w:val="444444"/>
          <w:sz w:val="20"/>
        </w:rPr>
        <w:t>Three exit triggers are evaluated per open position on every tick:</w:t>
      </w:r>
    </w:p>
    <w:p w14:paraId="21316DBB" w14:textId="77777777" w:rsidR="00B57D7C" w:rsidRDefault="00000000">
      <w:pPr>
        <w:spacing w:before="160" w:after="40"/>
      </w:pPr>
      <w:r>
        <w:rPr>
          <w:rFonts w:ascii="Calibri" w:hAnsi="Calibri"/>
          <w:b/>
          <w:color w:val="1A1A1A"/>
        </w:rPr>
        <w:t>Stop-Loss</w:t>
      </w:r>
    </w:p>
    <w:p w14:paraId="004B7495" w14:textId="77777777" w:rsidR="00B57D7C" w:rsidRDefault="00000000">
      <w:pPr>
        <w:spacing w:before="40" w:after="80"/>
      </w:pPr>
      <w:r>
        <w:rPr>
          <w:rFonts w:ascii="Calibri" w:hAnsi="Calibri"/>
          <w:color w:val="444444"/>
          <w:sz w:val="20"/>
        </w:rPr>
        <w:t>Price falls below entry by the configured percentage. Fires a market SELL immediately. This is the hard floor — no waiting for the next council sweep.</w:t>
      </w:r>
    </w:p>
    <w:p w14:paraId="69C41CD7" w14:textId="77777777" w:rsidR="00B57D7C" w:rsidRDefault="00000000">
      <w:pPr>
        <w:spacing w:before="160" w:after="40"/>
      </w:pPr>
      <w:r>
        <w:rPr>
          <w:rFonts w:ascii="Calibri" w:hAnsi="Calibri"/>
          <w:b/>
          <w:color w:val="1A1A1A"/>
        </w:rPr>
        <w:t>Trailing Stop</w:t>
      </w:r>
    </w:p>
    <w:p w14:paraId="23936476" w14:textId="77777777" w:rsidR="00B57D7C" w:rsidRDefault="00000000">
      <w:pPr>
        <w:spacing w:before="40" w:after="80"/>
      </w:pPr>
      <w:r>
        <w:rPr>
          <w:rFonts w:ascii="Calibri" w:hAnsi="Calibri"/>
          <w:color w:val="444444"/>
          <w:sz w:val="20"/>
        </w:rPr>
        <w:t>Once a position hits the profit-lock threshold, the watcher tracks the high water mark. If price retraces from that peak by the trail distance, it sells to lock in gains. The trail activates silently and the lock-in is logged to the console.</w:t>
      </w:r>
    </w:p>
    <w:p w14:paraId="6881CA7F" w14:textId="77777777" w:rsidR="00B57D7C" w:rsidRDefault="00000000">
      <w:pPr>
        <w:spacing w:before="160" w:after="40"/>
      </w:pPr>
      <w:r>
        <w:rPr>
          <w:rFonts w:ascii="Calibri" w:hAnsi="Calibri"/>
          <w:b/>
          <w:color w:val="1A1A1A"/>
        </w:rPr>
        <w:t>INTRADAY EOD</w:t>
      </w:r>
    </w:p>
    <w:p w14:paraId="56425CDA" w14:textId="77777777" w:rsidR="00B57D7C" w:rsidRDefault="00000000">
      <w:pPr>
        <w:spacing w:before="40" w:after="80"/>
      </w:pPr>
      <w:r>
        <w:rPr>
          <w:rFonts w:ascii="Calibri" w:hAnsi="Calibri"/>
          <w:color w:val="444444"/>
          <w:sz w:val="20"/>
        </w:rPr>
        <w:t>Any position logged as INTRADAY that is still open at 3:45 PM ET is force-closed as a market sell — regardless of P&amp;L. Prevents INTRADAY trades from becoming accidental overnight holds.</w:t>
      </w:r>
    </w:p>
    <w:tbl>
      <w:tblPr>
        <w:tblStyle w:val="TableGrid"/>
        <w:tblW w:w="0" w:type="auto"/>
        <w:tblLook w:val="04A0" w:firstRow="1" w:lastRow="0" w:firstColumn="1" w:lastColumn="0" w:noHBand="0" w:noVBand="1"/>
      </w:tblPr>
      <w:tblGrid>
        <w:gridCol w:w="1591"/>
        <w:gridCol w:w="1645"/>
        <w:gridCol w:w="1904"/>
        <w:gridCol w:w="1935"/>
        <w:gridCol w:w="2501"/>
      </w:tblGrid>
      <w:tr w:rsidR="00B57D7C" w14:paraId="1751FEF1" w14:textId="77777777">
        <w:tc>
          <w:tcPr>
            <w:tcW w:w="1728" w:type="dxa"/>
            <w:tcBorders>
              <w:top w:val="single" w:sz="4" w:space="0" w:color="FF6B00"/>
              <w:left w:val="single" w:sz="4" w:space="0" w:color="FF6B00"/>
              <w:bottom w:val="single" w:sz="4" w:space="0" w:color="FF6B00"/>
              <w:right w:val="single" w:sz="4" w:space="0" w:color="FF6B00"/>
            </w:tcBorders>
            <w:shd w:val="clear" w:color="auto" w:fill="1A1A1A"/>
          </w:tcPr>
          <w:p w14:paraId="4AF0F48E" w14:textId="77777777" w:rsidR="00B57D7C" w:rsidRDefault="00000000">
            <w:pPr>
              <w:ind w:left="80"/>
            </w:pPr>
            <w:r>
              <w:rPr>
                <w:rFonts w:ascii="Calibri" w:hAnsi="Calibri"/>
                <w:b/>
                <w:color w:val="FF6B00"/>
                <w:sz w:val="18"/>
              </w:rPr>
              <w:t>HORIZON</w:t>
            </w:r>
          </w:p>
        </w:tc>
        <w:tc>
          <w:tcPr>
            <w:tcW w:w="1872" w:type="dxa"/>
            <w:tcBorders>
              <w:top w:val="single" w:sz="4" w:space="0" w:color="FF6B00"/>
              <w:left w:val="single" w:sz="4" w:space="0" w:color="FF6B00"/>
              <w:bottom w:val="single" w:sz="4" w:space="0" w:color="FF6B00"/>
              <w:right w:val="single" w:sz="4" w:space="0" w:color="FF6B00"/>
            </w:tcBorders>
            <w:shd w:val="clear" w:color="auto" w:fill="1A1A1A"/>
          </w:tcPr>
          <w:p w14:paraId="18E2D1DE" w14:textId="77777777" w:rsidR="00B57D7C" w:rsidRDefault="00000000">
            <w:pPr>
              <w:ind w:left="80"/>
            </w:pPr>
            <w:r>
              <w:rPr>
                <w:rFonts w:ascii="Calibri" w:hAnsi="Calibri"/>
                <w:b/>
                <w:color w:val="FF6B00"/>
                <w:sz w:val="18"/>
              </w:rPr>
              <w:t>STOP-LOSS</w:t>
            </w:r>
          </w:p>
        </w:tc>
        <w:tc>
          <w:tcPr>
            <w:tcW w:w="2160" w:type="dxa"/>
            <w:tcBorders>
              <w:top w:val="single" w:sz="4" w:space="0" w:color="FF6B00"/>
              <w:left w:val="single" w:sz="4" w:space="0" w:color="FF6B00"/>
              <w:bottom w:val="single" w:sz="4" w:space="0" w:color="FF6B00"/>
              <w:right w:val="single" w:sz="4" w:space="0" w:color="FF6B00"/>
            </w:tcBorders>
            <w:shd w:val="clear" w:color="auto" w:fill="1A1A1A"/>
          </w:tcPr>
          <w:p w14:paraId="5099E2CD" w14:textId="77777777" w:rsidR="00B57D7C" w:rsidRDefault="00000000">
            <w:pPr>
              <w:ind w:left="80"/>
            </w:pPr>
            <w:r>
              <w:rPr>
                <w:rFonts w:ascii="Calibri" w:hAnsi="Calibri"/>
                <w:b/>
                <w:color w:val="FF6B00"/>
                <w:sz w:val="18"/>
              </w:rPr>
              <w:t>PROFIT-LOCK AT</w:t>
            </w:r>
          </w:p>
        </w:tc>
        <w:tc>
          <w:tcPr>
            <w:tcW w:w="2160" w:type="dxa"/>
            <w:tcBorders>
              <w:top w:val="single" w:sz="4" w:space="0" w:color="FF6B00"/>
              <w:left w:val="single" w:sz="4" w:space="0" w:color="FF6B00"/>
              <w:bottom w:val="single" w:sz="4" w:space="0" w:color="FF6B00"/>
              <w:right w:val="single" w:sz="4" w:space="0" w:color="FF6B00"/>
            </w:tcBorders>
            <w:shd w:val="clear" w:color="auto" w:fill="1A1A1A"/>
          </w:tcPr>
          <w:p w14:paraId="3A9EB24E" w14:textId="77777777" w:rsidR="00B57D7C" w:rsidRDefault="00000000">
            <w:pPr>
              <w:ind w:left="80"/>
            </w:pPr>
            <w:r>
              <w:rPr>
                <w:rFonts w:ascii="Calibri" w:hAnsi="Calibri"/>
                <w:b/>
                <w:color w:val="FF6B00"/>
                <w:sz w:val="18"/>
              </w:rPr>
              <w:t>TRAIL DISTANCE</w:t>
            </w:r>
          </w:p>
        </w:tc>
        <w:tc>
          <w:tcPr>
            <w:tcW w:w="2880" w:type="dxa"/>
            <w:tcBorders>
              <w:top w:val="single" w:sz="4" w:space="0" w:color="FF6B00"/>
              <w:left w:val="single" w:sz="4" w:space="0" w:color="FF6B00"/>
              <w:bottom w:val="single" w:sz="4" w:space="0" w:color="FF6B00"/>
              <w:right w:val="single" w:sz="4" w:space="0" w:color="FF6B00"/>
            </w:tcBorders>
            <w:shd w:val="clear" w:color="auto" w:fill="1A1A1A"/>
          </w:tcPr>
          <w:p w14:paraId="752B4063" w14:textId="77777777" w:rsidR="00B57D7C" w:rsidRDefault="00000000">
            <w:pPr>
              <w:ind w:left="80"/>
            </w:pPr>
            <w:r>
              <w:rPr>
                <w:rFonts w:ascii="Calibri" w:hAnsi="Calibri"/>
                <w:b/>
                <w:color w:val="FF6B00"/>
                <w:sz w:val="18"/>
              </w:rPr>
              <w:t>NOTES</w:t>
            </w:r>
          </w:p>
        </w:tc>
      </w:tr>
      <w:tr w:rsidR="00B57D7C" w14:paraId="2A76B579" w14:textId="77777777">
        <w:tc>
          <w:tcPr>
            <w:tcW w:w="1728" w:type="dxa"/>
            <w:tcBorders>
              <w:top w:val="single" w:sz="4" w:space="0" w:color="DDDDDD"/>
              <w:left w:val="single" w:sz="4" w:space="0" w:color="DDDDDD"/>
              <w:bottom w:val="single" w:sz="4" w:space="0" w:color="DDDDDD"/>
              <w:right w:val="single" w:sz="4" w:space="0" w:color="DDDDDD"/>
            </w:tcBorders>
            <w:shd w:val="clear" w:color="auto" w:fill="FFFFFF"/>
          </w:tcPr>
          <w:p w14:paraId="3FAE2976" w14:textId="77777777" w:rsidR="00B57D7C" w:rsidRDefault="00000000">
            <w:pPr>
              <w:ind w:left="80"/>
            </w:pPr>
            <w:r>
              <w:rPr>
                <w:rFonts w:ascii="Calibri" w:hAnsi="Calibri"/>
                <w:color w:val="444444"/>
                <w:sz w:val="18"/>
              </w:rPr>
              <w:t>INTRADAY</w:t>
            </w:r>
          </w:p>
        </w:tc>
        <w:tc>
          <w:tcPr>
            <w:tcW w:w="1872" w:type="dxa"/>
            <w:tcBorders>
              <w:top w:val="single" w:sz="4" w:space="0" w:color="DDDDDD"/>
              <w:left w:val="single" w:sz="4" w:space="0" w:color="DDDDDD"/>
              <w:bottom w:val="single" w:sz="4" w:space="0" w:color="DDDDDD"/>
              <w:right w:val="single" w:sz="4" w:space="0" w:color="DDDDDD"/>
            </w:tcBorders>
            <w:shd w:val="clear" w:color="auto" w:fill="FFFFFF"/>
          </w:tcPr>
          <w:p w14:paraId="17795967" w14:textId="77777777" w:rsidR="00B57D7C" w:rsidRDefault="00000000">
            <w:pPr>
              <w:ind w:left="80"/>
            </w:pPr>
            <w:r>
              <w:rPr>
                <w:rFonts w:ascii="Calibri" w:hAnsi="Calibri"/>
                <w:color w:val="444444"/>
                <w:sz w:val="18"/>
              </w:rPr>
              <w:t>-2.0%</w:t>
            </w:r>
          </w:p>
        </w:tc>
        <w:tc>
          <w:tcPr>
            <w:tcW w:w="2160" w:type="dxa"/>
            <w:tcBorders>
              <w:top w:val="single" w:sz="4" w:space="0" w:color="DDDDDD"/>
              <w:left w:val="single" w:sz="4" w:space="0" w:color="DDDDDD"/>
              <w:bottom w:val="single" w:sz="4" w:space="0" w:color="DDDDDD"/>
              <w:right w:val="single" w:sz="4" w:space="0" w:color="DDDDDD"/>
            </w:tcBorders>
            <w:shd w:val="clear" w:color="auto" w:fill="FFFFFF"/>
          </w:tcPr>
          <w:p w14:paraId="25678D7A" w14:textId="77777777" w:rsidR="00B57D7C" w:rsidRDefault="00000000">
            <w:pPr>
              <w:ind w:left="80"/>
            </w:pPr>
            <w:r>
              <w:rPr>
                <w:rFonts w:ascii="Calibri" w:hAnsi="Calibri"/>
                <w:color w:val="444444"/>
                <w:sz w:val="18"/>
              </w:rPr>
              <w:t>+1.0%</w:t>
            </w:r>
          </w:p>
        </w:tc>
        <w:tc>
          <w:tcPr>
            <w:tcW w:w="2160" w:type="dxa"/>
            <w:tcBorders>
              <w:top w:val="single" w:sz="4" w:space="0" w:color="DDDDDD"/>
              <w:left w:val="single" w:sz="4" w:space="0" w:color="DDDDDD"/>
              <w:bottom w:val="single" w:sz="4" w:space="0" w:color="DDDDDD"/>
              <w:right w:val="single" w:sz="4" w:space="0" w:color="DDDDDD"/>
            </w:tcBorders>
            <w:shd w:val="clear" w:color="auto" w:fill="FFFFFF"/>
          </w:tcPr>
          <w:p w14:paraId="10AB389F" w14:textId="77777777" w:rsidR="00B57D7C" w:rsidRDefault="00000000">
            <w:pPr>
              <w:ind w:left="80"/>
            </w:pPr>
            <w:r>
              <w:rPr>
                <w:rFonts w:ascii="Calibri" w:hAnsi="Calibri"/>
                <w:color w:val="444444"/>
                <w:sz w:val="18"/>
              </w:rPr>
              <w:t>1.5% from high</w:t>
            </w:r>
          </w:p>
        </w:tc>
        <w:tc>
          <w:tcPr>
            <w:tcW w:w="2880" w:type="dxa"/>
            <w:tcBorders>
              <w:top w:val="single" w:sz="4" w:space="0" w:color="DDDDDD"/>
              <w:left w:val="single" w:sz="4" w:space="0" w:color="DDDDDD"/>
              <w:bottom w:val="single" w:sz="4" w:space="0" w:color="DDDDDD"/>
              <w:right w:val="single" w:sz="4" w:space="0" w:color="DDDDDD"/>
            </w:tcBorders>
            <w:shd w:val="clear" w:color="auto" w:fill="FFFFFF"/>
          </w:tcPr>
          <w:p w14:paraId="13A7E130" w14:textId="77777777" w:rsidR="00B57D7C" w:rsidRDefault="00000000">
            <w:pPr>
              <w:ind w:left="80"/>
            </w:pPr>
            <w:r>
              <w:rPr>
                <w:rFonts w:ascii="Calibri" w:hAnsi="Calibri"/>
                <w:color w:val="444444"/>
                <w:sz w:val="18"/>
              </w:rPr>
              <w:t>Tight — same-day risk only</w:t>
            </w:r>
          </w:p>
        </w:tc>
      </w:tr>
      <w:tr w:rsidR="00B57D7C" w14:paraId="47B0E069" w14:textId="77777777">
        <w:tc>
          <w:tcPr>
            <w:tcW w:w="1728" w:type="dxa"/>
            <w:tcBorders>
              <w:top w:val="single" w:sz="4" w:space="0" w:color="DDDDDD"/>
              <w:left w:val="single" w:sz="4" w:space="0" w:color="DDDDDD"/>
              <w:bottom w:val="single" w:sz="4" w:space="0" w:color="DDDDDD"/>
              <w:right w:val="single" w:sz="4" w:space="0" w:color="DDDDDD"/>
            </w:tcBorders>
            <w:shd w:val="clear" w:color="auto" w:fill="F9F9F9"/>
          </w:tcPr>
          <w:p w14:paraId="271C9DED" w14:textId="77777777" w:rsidR="00B57D7C" w:rsidRDefault="00000000">
            <w:pPr>
              <w:ind w:left="80"/>
            </w:pPr>
            <w:r>
              <w:rPr>
                <w:rFonts w:ascii="Calibri" w:hAnsi="Calibri"/>
                <w:color w:val="444444"/>
                <w:sz w:val="18"/>
              </w:rPr>
              <w:t>SWING</w:t>
            </w:r>
          </w:p>
        </w:tc>
        <w:tc>
          <w:tcPr>
            <w:tcW w:w="1872" w:type="dxa"/>
            <w:tcBorders>
              <w:top w:val="single" w:sz="4" w:space="0" w:color="DDDDDD"/>
              <w:left w:val="single" w:sz="4" w:space="0" w:color="DDDDDD"/>
              <w:bottom w:val="single" w:sz="4" w:space="0" w:color="DDDDDD"/>
              <w:right w:val="single" w:sz="4" w:space="0" w:color="DDDDDD"/>
            </w:tcBorders>
            <w:shd w:val="clear" w:color="auto" w:fill="F9F9F9"/>
          </w:tcPr>
          <w:p w14:paraId="0FE36511" w14:textId="77777777" w:rsidR="00B57D7C" w:rsidRDefault="00000000">
            <w:pPr>
              <w:ind w:left="80"/>
            </w:pPr>
            <w:r>
              <w:rPr>
                <w:rFonts w:ascii="Calibri" w:hAnsi="Calibri"/>
                <w:color w:val="444444"/>
                <w:sz w:val="18"/>
              </w:rPr>
              <w:t>-5.0%</w:t>
            </w:r>
          </w:p>
        </w:tc>
        <w:tc>
          <w:tcPr>
            <w:tcW w:w="2160" w:type="dxa"/>
            <w:tcBorders>
              <w:top w:val="single" w:sz="4" w:space="0" w:color="DDDDDD"/>
              <w:left w:val="single" w:sz="4" w:space="0" w:color="DDDDDD"/>
              <w:bottom w:val="single" w:sz="4" w:space="0" w:color="DDDDDD"/>
              <w:right w:val="single" w:sz="4" w:space="0" w:color="DDDDDD"/>
            </w:tcBorders>
            <w:shd w:val="clear" w:color="auto" w:fill="F9F9F9"/>
          </w:tcPr>
          <w:p w14:paraId="21A8FA18" w14:textId="77777777" w:rsidR="00B57D7C" w:rsidRDefault="00000000">
            <w:pPr>
              <w:ind w:left="80"/>
            </w:pPr>
            <w:r>
              <w:rPr>
                <w:rFonts w:ascii="Calibri" w:hAnsi="Calibri"/>
                <w:color w:val="444444"/>
                <w:sz w:val="18"/>
              </w:rPr>
              <w:t>+3.0%</w:t>
            </w:r>
          </w:p>
        </w:tc>
        <w:tc>
          <w:tcPr>
            <w:tcW w:w="2160" w:type="dxa"/>
            <w:tcBorders>
              <w:top w:val="single" w:sz="4" w:space="0" w:color="DDDDDD"/>
              <w:left w:val="single" w:sz="4" w:space="0" w:color="DDDDDD"/>
              <w:bottom w:val="single" w:sz="4" w:space="0" w:color="DDDDDD"/>
              <w:right w:val="single" w:sz="4" w:space="0" w:color="DDDDDD"/>
            </w:tcBorders>
            <w:shd w:val="clear" w:color="auto" w:fill="F9F9F9"/>
          </w:tcPr>
          <w:p w14:paraId="6A8F380B" w14:textId="77777777" w:rsidR="00B57D7C" w:rsidRDefault="00000000">
            <w:pPr>
              <w:ind w:left="80"/>
            </w:pPr>
            <w:r>
              <w:rPr>
                <w:rFonts w:ascii="Calibri" w:hAnsi="Calibri"/>
                <w:color w:val="444444"/>
                <w:sz w:val="18"/>
              </w:rPr>
              <w:t>2.0% from high</w:t>
            </w:r>
          </w:p>
        </w:tc>
        <w:tc>
          <w:tcPr>
            <w:tcW w:w="2880" w:type="dxa"/>
            <w:tcBorders>
              <w:top w:val="single" w:sz="4" w:space="0" w:color="DDDDDD"/>
              <w:left w:val="single" w:sz="4" w:space="0" w:color="DDDDDD"/>
              <w:bottom w:val="single" w:sz="4" w:space="0" w:color="DDDDDD"/>
              <w:right w:val="single" w:sz="4" w:space="0" w:color="DDDDDD"/>
            </w:tcBorders>
            <w:shd w:val="clear" w:color="auto" w:fill="F9F9F9"/>
          </w:tcPr>
          <w:p w14:paraId="1365E939" w14:textId="77777777" w:rsidR="00B57D7C" w:rsidRDefault="00000000">
            <w:pPr>
              <w:ind w:left="80"/>
            </w:pPr>
            <w:r>
              <w:rPr>
                <w:rFonts w:ascii="Calibri" w:hAnsi="Calibri"/>
                <w:color w:val="444444"/>
                <w:sz w:val="18"/>
              </w:rPr>
              <w:t>Room to breathe overnight</w:t>
            </w:r>
          </w:p>
        </w:tc>
      </w:tr>
      <w:tr w:rsidR="00B57D7C" w14:paraId="161AA220" w14:textId="77777777">
        <w:tc>
          <w:tcPr>
            <w:tcW w:w="1728" w:type="dxa"/>
            <w:tcBorders>
              <w:top w:val="single" w:sz="4" w:space="0" w:color="DDDDDD"/>
              <w:left w:val="single" w:sz="4" w:space="0" w:color="DDDDDD"/>
              <w:bottom w:val="single" w:sz="4" w:space="0" w:color="DDDDDD"/>
              <w:right w:val="single" w:sz="4" w:space="0" w:color="DDDDDD"/>
            </w:tcBorders>
            <w:shd w:val="clear" w:color="auto" w:fill="FFFFFF"/>
          </w:tcPr>
          <w:p w14:paraId="679DF887" w14:textId="77777777" w:rsidR="00B57D7C" w:rsidRDefault="00000000">
            <w:pPr>
              <w:ind w:left="80"/>
            </w:pPr>
            <w:r>
              <w:rPr>
                <w:rFonts w:ascii="Calibri" w:hAnsi="Calibri"/>
                <w:color w:val="444444"/>
                <w:sz w:val="18"/>
              </w:rPr>
              <w:t>LONG</w:t>
            </w:r>
          </w:p>
        </w:tc>
        <w:tc>
          <w:tcPr>
            <w:tcW w:w="1872" w:type="dxa"/>
            <w:tcBorders>
              <w:top w:val="single" w:sz="4" w:space="0" w:color="DDDDDD"/>
              <w:left w:val="single" w:sz="4" w:space="0" w:color="DDDDDD"/>
              <w:bottom w:val="single" w:sz="4" w:space="0" w:color="DDDDDD"/>
              <w:right w:val="single" w:sz="4" w:space="0" w:color="DDDDDD"/>
            </w:tcBorders>
            <w:shd w:val="clear" w:color="auto" w:fill="FFFFFF"/>
          </w:tcPr>
          <w:p w14:paraId="325451D3" w14:textId="77777777" w:rsidR="00B57D7C" w:rsidRDefault="00000000">
            <w:pPr>
              <w:ind w:left="80"/>
            </w:pPr>
            <w:r>
              <w:rPr>
                <w:rFonts w:ascii="Calibri" w:hAnsi="Calibri"/>
                <w:color w:val="444444"/>
                <w:sz w:val="18"/>
              </w:rPr>
              <w:t>-12.0%</w:t>
            </w:r>
          </w:p>
        </w:tc>
        <w:tc>
          <w:tcPr>
            <w:tcW w:w="2160" w:type="dxa"/>
            <w:tcBorders>
              <w:top w:val="single" w:sz="4" w:space="0" w:color="DDDDDD"/>
              <w:left w:val="single" w:sz="4" w:space="0" w:color="DDDDDD"/>
              <w:bottom w:val="single" w:sz="4" w:space="0" w:color="DDDDDD"/>
              <w:right w:val="single" w:sz="4" w:space="0" w:color="DDDDDD"/>
            </w:tcBorders>
            <w:shd w:val="clear" w:color="auto" w:fill="FFFFFF"/>
          </w:tcPr>
          <w:p w14:paraId="67D3CC03" w14:textId="77777777" w:rsidR="00B57D7C" w:rsidRDefault="00000000">
            <w:pPr>
              <w:ind w:left="80"/>
            </w:pPr>
            <w:r>
              <w:rPr>
                <w:rFonts w:ascii="Calibri" w:hAnsi="Calibri"/>
                <w:color w:val="444444"/>
                <w:sz w:val="18"/>
              </w:rPr>
              <w:t>+8.0%</w:t>
            </w:r>
          </w:p>
        </w:tc>
        <w:tc>
          <w:tcPr>
            <w:tcW w:w="2160" w:type="dxa"/>
            <w:tcBorders>
              <w:top w:val="single" w:sz="4" w:space="0" w:color="DDDDDD"/>
              <w:left w:val="single" w:sz="4" w:space="0" w:color="DDDDDD"/>
              <w:bottom w:val="single" w:sz="4" w:space="0" w:color="DDDDDD"/>
              <w:right w:val="single" w:sz="4" w:space="0" w:color="DDDDDD"/>
            </w:tcBorders>
            <w:shd w:val="clear" w:color="auto" w:fill="FFFFFF"/>
          </w:tcPr>
          <w:p w14:paraId="4346906B" w14:textId="77777777" w:rsidR="00B57D7C" w:rsidRDefault="00000000">
            <w:pPr>
              <w:ind w:left="80"/>
            </w:pPr>
            <w:r>
              <w:rPr>
                <w:rFonts w:ascii="Calibri" w:hAnsi="Calibri"/>
                <w:color w:val="444444"/>
                <w:sz w:val="18"/>
              </w:rPr>
              <w:t>4.0% from high</w:t>
            </w:r>
          </w:p>
        </w:tc>
        <w:tc>
          <w:tcPr>
            <w:tcW w:w="2880" w:type="dxa"/>
            <w:tcBorders>
              <w:top w:val="single" w:sz="4" w:space="0" w:color="DDDDDD"/>
              <w:left w:val="single" w:sz="4" w:space="0" w:color="DDDDDD"/>
              <w:bottom w:val="single" w:sz="4" w:space="0" w:color="DDDDDD"/>
              <w:right w:val="single" w:sz="4" w:space="0" w:color="DDDDDD"/>
            </w:tcBorders>
            <w:shd w:val="clear" w:color="auto" w:fill="FFFFFF"/>
          </w:tcPr>
          <w:p w14:paraId="051F1FFB" w14:textId="77777777" w:rsidR="00B57D7C" w:rsidRDefault="00000000">
            <w:pPr>
              <w:ind w:left="80"/>
            </w:pPr>
            <w:r>
              <w:rPr>
                <w:rFonts w:ascii="Calibri" w:hAnsi="Calibri"/>
                <w:color w:val="444444"/>
                <w:sz w:val="18"/>
              </w:rPr>
              <w:t>Thesis-driven — wider tolerance</w:t>
            </w:r>
          </w:p>
        </w:tc>
      </w:tr>
    </w:tbl>
    <w:p w14:paraId="16CA531C" w14:textId="77777777" w:rsidR="00B57D7C" w:rsidRDefault="00B57D7C"/>
    <w:tbl>
      <w:tblPr>
        <w:tblStyle w:val="TableGrid"/>
        <w:tblW w:w="0" w:type="auto"/>
        <w:tblLook w:val="04A0" w:firstRow="1" w:lastRow="0" w:firstColumn="1" w:lastColumn="0" w:noHBand="0" w:noVBand="1"/>
      </w:tblPr>
      <w:tblGrid>
        <w:gridCol w:w="3312"/>
        <w:gridCol w:w="6048"/>
      </w:tblGrid>
      <w:tr w:rsidR="00B57D7C" w14:paraId="7E5238F5" w14:textId="77777777">
        <w:tc>
          <w:tcPr>
            <w:tcW w:w="3312" w:type="dxa"/>
            <w:tcBorders>
              <w:top w:val="single" w:sz="4" w:space="0" w:color="DDDDDD"/>
              <w:left w:val="single" w:sz="4" w:space="0" w:color="DDDDDD"/>
              <w:bottom w:val="single" w:sz="4" w:space="0" w:color="DDDDDD"/>
              <w:right w:val="single" w:sz="4" w:space="0" w:color="DDDDDD"/>
            </w:tcBorders>
            <w:shd w:val="clear" w:color="auto" w:fill="F5F5F5"/>
            <w:vAlign w:val="center"/>
          </w:tcPr>
          <w:p w14:paraId="6AE31676" w14:textId="77777777" w:rsidR="00B57D7C" w:rsidRDefault="00000000">
            <w:pPr>
              <w:ind w:left="120"/>
            </w:pPr>
            <w:r>
              <w:rPr>
                <w:rFonts w:ascii="Calibri" w:hAnsi="Calibri"/>
                <w:b/>
                <w:color w:val="1A1A1A"/>
                <w:sz w:val="18"/>
              </w:rPr>
              <w:t>Poll interval</w:t>
            </w:r>
          </w:p>
        </w:tc>
        <w:tc>
          <w:tcPr>
            <w:tcW w:w="6048" w:type="dxa"/>
            <w:tcBorders>
              <w:top w:val="single" w:sz="4" w:space="0" w:color="DDDDDD"/>
              <w:left w:val="single" w:sz="4" w:space="0" w:color="DDDDDD"/>
              <w:bottom w:val="single" w:sz="4" w:space="0" w:color="DDDDDD"/>
              <w:right w:val="single" w:sz="4" w:space="0" w:color="DDDDDD"/>
            </w:tcBorders>
            <w:vAlign w:val="center"/>
          </w:tcPr>
          <w:p w14:paraId="24E19D09" w14:textId="77777777" w:rsidR="00B57D7C" w:rsidRDefault="00000000">
            <w:pPr>
              <w:ind w:left="120"/>
            </w:pPr>
            <w:r>
              <w:rPr>
                <w:rFonts w:ascii="Calibri" w:hAnsi="Calibri"/>
                <w:color w:val="444444"/>
                <w:sz w:val="18"/>
              </w:rPr>
              <w:t>90 seconds (configurable via STOP_LOSS_INTERVAL_MS)</w:t>
            </w:r>
          </w:p>
        </w:tc>
      </w:tr>
      <w:tr w:rsidR="00B57D7C" w14:paraId="5D4D1FA1" w14:textId="77777777">
        <w:tc>
          <w:tcPr>
            <w:tcW w:w="3312" w:type="dxa"/>
            <w:tcBorders>
              <w:top w:val="single" w:sz="4" w:space="0" w:color="DDDDDD"/>
              <w:left w:val="single" w:sz="4" w:space="0" w:color="DDDDDD"/>
              <w:bottom w:val="single" w:sz="4" w:space="0" w:color="DDDDDD"/>
              <w:right w:val="single" w:sz="4" w:space="0" w:color="DDDDDD"/>
            </w:tcBorders>
            <w:shd w:val="clear" w:color="auto" w:fill="F5F5F5"/>
            <w:vAlign w:val="center"/>
          </w:tcPr>
          <w:p w14:paraId="33601547" w14:textId="77777777" w:rsidR="00B57D7C" w:rsidRDefault="00000000">
            <w:pPr>
              <w:ind w:left="120"/>
            </w:pPr>
            <w:r>
              <w:rPr>
                <w:rFonts w:ascii="Calibri" w:hAnsi="Calibri"/>
                <w:b/>
                <w:color w:val="1A1A1A"/>
                <w:sz w:val="18"/>
              </w:rPr>
              <w:t>Order type</w:t>
            </w:r>
          </w:p>
        </w:tc>
        <w:tc>
          <w:tcPr>
            <w:tcW w:w="6048" w:type="dxa"/>
            <w:tcBorders>
              <w:top w:val="single" w:sz="4" w:space="0" w:color="DDDDDD"/>
              <w:left w:val="single" w:sz="4" w:space="0" w:color="DDDDDD"/>
              <w:bottom w:val="single" w:sz="4" w:space="0" w:color="DDDDDD"/>
              <w:right w:val="single" w:sz="4" w:space="0" w:color="DDDDDD"/>
            </w:tcBorders>
            <w:vAlign w:val="center"/>
          </w:tcPr>
          <w:p w14:paraId="081D0B74" w14:textId="77777777" w:rsidR="00B57D7C" w:rsidRDefault="00000000">
            <w:pPr>
              <w:ind w:left="120"/>
            </w:pPr>
            <w:r>
              <w:rPr>
                <w:rFonts w:ascii="Calibri" w:hAnsi="Calibri"/>
                <w:color w:val="444444"/>
                <w:sz w:val="18"/>
              </w:rPr>
              <w:t>Market SELL — fastest possible execution, no limit price</w:t>
            </w:r>
          </w:p>
        </w:tc>
      </w:tr>
      <w:tr w:rsidR="00B57D7C" w14:paraId="2BD6207F" w14:textId="77777777">
        <w:tc>
          <w:tcPr>
            <w:tcW w:w="3312" w:type="dxa"/>
            <w:tcBorders>
              <w:top w:val="single" w:sz="4" w:space="0" w:color="DDDDDD"/>
              <w:left w:val="single" w:sz="4" w:space="0" w:color="DDDDDD"/>
              <w:bottom w:val="single" w:sz="4" w:space="0" w:color="DDDDDD"/>
              <w:right w:val="single" w:sz="4" w:space="0" w:color="DDDDDD"/>
            </w:tcBorders>
            <w:shd w:val="clear" w:color="auto" w:fill="F5F5F5"/>
            <w:vAlign w:val="center"/>
          </w:tcPr>
          <w:p w14:paraId="72C3500E" w14:textId="77777777" w:rsidR="00B57D7C" w:rsidRDefault="00000000">
            <w:pPr>
              <w:ind w:left="120"/>
            </w:pPr>
            <w:r>
              <w:rPr>
                <w:rFonts w:ascii="Calibri" w:hAnsi="Calibri"/>
                <w:b/>
                <w:color w:val="1A1A1A"/>
                <w:sz w:val="18"/>
              </w:rPr>
              <w:t>Units source</w:t>
            </w:r>
          </w:p>
        </w:tc>
        <w:tc>
          <w:tcPr>
            <w:tcW w:w="6048" w:type="dxa"/>
            <w:tcBorders>
              <w:top w:val="single" w:sz="4" w:space="0" w:color="DDDDDD"/>
              <w:left w:val="single" w:sz="4" w:space="0" w:color="DDDDDD"/>
              <w:bottom w:val="single" w:sz="4" w:space="0" w:color="DDDDDD"/>
              <w:right w:val="single" w:sz="4" w:space="0" w:color="DDDDDD"/>
            </w:tcBorders>
            <w:vAlign w:val="center"/>
          </w:tcPr>
          <w:p w14:paraId="49E330DB" w14:textId="77777777" w:rsidR="00B57D7C" w:rsidRDefault="00000000">
            <w:pPr>
              <w:ind w:left="120"/>
            </w:pPr>
            <w:r>
              <w:rPr>
                <w:rFonts w:ascii="Calibri" w:hAnsi="Calibri"/>
                <w:color w:val="444444"/>
                <w:sz w:val="18"/>
              </w:rPr>
              <w:t>Live SnapTrade portfolio (actual held units, not estimated)</w:t>
            </w:r>
          </w:p>
        </w:tc>
      </w:tr>
      <w:tr w:rsidR="00B57D7C" w14:paraId="341AC262" w14:textId="77777777">
        <w:tc>
          <w:tcPr>
            <w:tcW w:w="3312" w:type="dxa"/>
            <w:tcBorders>
              <w:top w:val="single" w:sz="4" w:space="0" w:color="DDDDDD"/>
              <w:left w:val="single" w:sz="4" w:space="0" w:color="DDDDDD"/>
              <w:bottom w:val="single" w:sz="4" w:space="0" w:color="DDDDDD"/>
              <w:right w:val="single" w:sz="4" w:space="0" w:color="DDDDDD"/>
            </w:tcBorders>
            <w:shd w:val="clear" w:color="auto" w:fill="F5F5F5"/>
            <w:vAlign w:val="center"/>
          </w:tcPr>
          <w:p w14:paraId="50A960EF" w14:textId="77777777" w:rsidR="00B57D7C" w:rsidRDefault="00000000">
            <w:pPr>
              <w:ind w:left="120"/>
            </w:pPr>
            <w:r>
              <w:rPr>
                <w:rFonts w:ascii="Calibri" w:hAnsi="Calibri"/>
                <w:b/>
                <w:color w:val="1A1A1A"/>
                <w:sz w:val="18"/>
              </w:rPr>
              <w:t>After exit</w:t>
            </w:r>
          </w:p>
        </w:tc>
        <w:tc>
          <w:tcPr>
            <w:tcW w:w="6048" w:type="dxa"/>
            <w:tcBorders>
              <w:top w:val="single" w:sz="4" w:space="0" w:color="DDDDDD"/>
              <w:left w:val="single" w:sz="4" w:space="0" w:color="DDDDDD"/>
              <w:bottom w:val="single" w:sz="4" w:space="0" w:color="DDDDDD"/>
              <w:right w:val="single" w:sz="4" w:space="0" w:color="DDDDDD"/>
            </w:tcBorders>
            <w:vAlign w:val="center"/>
          </w:tcPr>
          <w:p w14:paraId="0CF87E87" w14:textId="77777777" w:rsidR="00B57D7C" w:rsidRDefault="00000000">
            <w:pPr>
              <w:ind w:left="120"/>
            </w:pPr>
            <w:r>
              <w:rPr>
                <w:rFonts w:ascii="Calibri" w:hAnsi="Calibri"/>
                <w:color w:val="444444"/>
                <w:sz w:val="18"/>
              </w:rPr>
              <w:t>Decision resolved in decisions.json + Telegram alert sent</w:t>
            </w:r>
          </w:p>
        </w:tc>
      </w:tr>
      <w:tr w:rsidR="00B57D7C" w14:paraId="1F7F9FB7" w14:textId="77777777">
        <w:tc>
          <w:tcPr>
            <w:tcW w:w="3312" w:type="dxa"/>
            <w:tcBorders>
              <w:top w:val="single" w:sz="4" w:space="0" w:color="DDDDDD"/>
              <w:left w:val="single" w:sz="4" w:space="0" w:color="DDDDDD"/>
              <w:bottom w:val="single" w:sz="4" w:space="0" w:color="DDDDDD"/>
              <w:right w:val="single" w:sz="4" w:space="0" w:color="DDDDDD"/>
            </w:tcBorders>
            <w:shd w:val="clear" w:color="auto" w:fill="F5F5F5"/>
            <w:vAlign w:val="center"/>
          </w:tcPr>
          <w:p w14:paraId="019FEC11" w14:textId="77777777" w:rsidR="00B57D7C" w:rsidRDefault="00000000">
            <w:pPr>
              <w:ind w:left="120"/>
            </w:pPr>
            <w:r>
              <w:rPr>
                <w:rFonts w:ascii="Calibri" w:hAnsi="Calibri"/>
                <w:b/>
                <w:color w:val="1A1A1A"/>
                <w:sz w:val="18"/>
              </w:rPr>
              <w:t>Double-fire guard</w:t>
            </w:r>
          </w:p>
        </w:tc>
        <w:tc>
          <w:tcPr>
            <w:tcW w:w="6048" w:type="dxa"/>
            <w:tcBorders>
              <w:top w:val="single" w:sz="4" w:space="0" w:color="DDDDDD"/>
              <w:left w:val="single" w:sz="4" w:space="0" w:color="DDDDDD"/>
              <w:bottom w:val="single" w:sz="4" w:space="0" w:color="DDDDDD"/>
              <w:right w:val="single" w:sz="4" w:space="0" w:color="DDDDDD"/>
            </w:tcBorders>
            <w:vAlign w:val="center"/>
          </w:tcPr>
          <w:p w14:paraId="6F300012" w14:textId="77777777" w:rsidR="00B57D7C" w:rsidRDefault="00000000">
            <w:pPr>
              <w:ind w:left="120"/>
            </w:pPr>
            <w:r>
              <w:rPr>
                <w:rFonts w:ascii="Calibri" w:hAnsi="Calibri"/>
                <w:color w:val="444444"/>
                <w:sz w:val="18"/>
              </w:rPr>
              <w:t>_triggeredIds Set prevents re-firing on same position if quote lags</w:t>
            </w:r>
          </w:p>
        </w:tc>
      </w:tr>
      <w:tr w:rsidR="00B57D7C" w14:paraId="70D4B302" w14:textId="77777777">
        <w:tc>
          <w:tcPr>
            <w:tcW w:w="3312" w:type="dxa"/>
            <w:tcBorders>
              <w:top w:val="single" w:sz="4" w:space="0" w:color="DDDDDD"/>
              <w:left w:val="single" w:sz="4" w:space="0" w:color="DDDDDD"/>
              <w:bottom w:val="single" w:sz="4" w:space="0" w:color="DDDDDD"/>
              <w:right w:val="single" w:sz="4" w:space="0" w:color="DDDDDD"/>
            </w:tcBorders>
            <w:shd w:val="clear" w:color="auto" w:fill="F5F5F5"/>
            <w:vAlign w:val="center"/>
          </w:tcPr>
          <w:p w14:paraId="7E1EE128" w14:textId="77777777" w:rsidR="00B57D7C" w:rsidRDefault="00000000">
            <w:pPr>
              <w:ind w:left="120"/>
            </w:pPr>
            <w:r>
              <w:rPr>
                <w:rFonts w:ascii="Calibri" w:hAnsi="Calibri"/>
                <w:b/>
                <w:color w:val="1A1A1A"/>
                <w:sz w:val="18"/>
              </w:rPr>
              <w:t>All thresholds</w:t>
            </w:r>
          </w:p>
        </w:tc>
        <w:tc>
          <w:tcPr>
            <w:tcW w:w="6048" w:type="dxa"/>
            <w:tcBorders>
              <w:top w:val="single" w:sz="4" w:space="0" w:color="DDDDDD"/>
              <w:left w:val="single" w:sz="4" w:space="0" w:color="DDDDDD"/>
              <w:bottom w:val="single" w:sz="4" w:space="0" w:color="DDDDDD"/>
              <w:right w:val="single" w:sz="4" w:space="0" w:color="DDDDDD"/>
            </w:tcBorders>
            <w:vAlign w:val="center"/>
          </w:tcPr>
          <w:p w14:paraId="01B0A5C9" w14:textId="77777777" w:rsidR="00B57D7C" w:rsidRDefault="00000000">
            <w:pPr>
              <w:ind w:left="120"/>
            </w:pPr>
            <w:r>
              <w:rPr>
                <w:rFonts w:ascii="Calibri" w:hAnsi="Calibri"/>
                <w:color w:val="444444"/>
                <w:sz w:val="18"/>
              </w:rPr>
              <w:t>Overridable via env vars: STOP_LOSS_SWING, PROFIT_LOCK_LONG, TRAIL_INTRADAY, etc.</w:t>
            </w:r>
          </w:p>
        </w:tc>
      </w:tr>
      <w:tr w:rsidR="00B57D7C" w14:paraId="069DB0A5" w14:textId="77777777">
        <w:tc>
          <w:tcPr>
            <w:tcW w:w="3312" w:type="dxa"/>
            <w:tcBorders>
              <w:top w:val="single" w:sz="4" w:space="0" w:color="DDDDDD"/>
              <w:left w:val="single" w:sz="4" w:space="0" w:color="DDDDDD"/>
              <w:bottom w:val="single" w:sz="4" w:space="0" w:color="DDDDDD"/>
              <w:right w:val="single" w:sz="4" w:space="0" w:color="DDDDDD"/>
            </w:tcBorders>
            <w:shd w:val="clear" w:color="auto" w:fill="F5F5F5"/>
            <w:vAlign w:val="center"/>
          </w:tcPr>
          <w:p w14:paraId="2AE44D44" w14:textId="77777777" w:rsidR="00B57D7C" w:rsidRDefault="00000000">
            <w:pPr>
              <w:ind w:left="120"/>
            </w:pPr>
            <w:r>
              <w:rPr>
                <w:rFonts w:ascii="Calibri" w:hAnsi="Calibri"/>
                <w:b/>
                <w:color w:val="1A1A1A"/>
                <w:sz w:val="18"/>
              </w:rPr>
              <w:t>Market hours only</w:t>
            </w:r>
          </w:p>
        </w:tc>
        <w:tc>
          <w:tcPr>
            <w:tcW w:w="6048" w:type="dxa"/>
            <w:tcBorders>
              <w:top w:val="single" w:sz="4" w:space="0" w:color="DDDDDD"/>
              <w:left w:val="single" w:sz="4" w:space="0" w:color="DDDDDD"/>
              <w:bottom w:val="single" w:sz="4" w:space="0" w:color="DDDDDD"/>
              <w:right w:val="single" w:sz="4" w:space="0" w:color="DDDDDD"/>
            </w:tcBorders>
            <w:vAlign w:val="center"/>
          </w:tcPr>
          <w:p w14:paraId="1374E5B9" w14:textId="77777777" w:rsidR="00B57D7C" w:rsidRDefault="00000000">
            <w:pPr>
              <w:ind w:left="120"/>
            </w:pPr>
            <w:r>
              <w:rPr>
                <w:rFonts w:ascii="Calibri" w:hAnsi="Calibri"/>
                <w:color w:val="444444"/>
                <w:sz w:val="18"/>
              </w:rPr>
              <w:t>Watcher skips checks outside 9:30 AM – 4:15 PM ET window</w:t>
            </w:r>
          </w:p>
        </w:tc>
      </w:tr>
    </w:tbl>
    <w:p w14:paraId="6A8E5386" w14:textId="77777777" w:rsidR="00B57D7C" w:rsidRDefault="00B57D7C"/>
    <w:p w14:paraId="7127349C" w14:textId="77777777" w:rsidR="00B57D7C" w:rsidRDefault="00000000">
      <w:pPr>
        <w:spacing w:after="160"/>
        <w:ind w:left="432"/>
      </w:pPr>
      <w:r>
        <w:rPr>
          <w:rFonts w:ascii="Calibri" w:hAnsi="Calibri"/>
          <w:b/>
          <w:color w:val="FF6B00"/>
          <w:sz w:val="20"/>
        </w:rPr>
        <w:t xml:space="preserve">◈  Key design principle: </w:t>
      </w:r>
      <w:r>
        <w:rPr>
          <w:rFonts w:ascii="Calibri" w:hAnsi="Calibri"/>
          <w:color w:val="444444"/>
          <w:sz w:val="20"/>
        </w:rPr>
        <w:t>The watcher and the council are intentionally decoupled. The council decides WHAT to buy and WHEN. The watcher decides WHEN to exit based on price action alone. This means a LONG position can be in the portfolio for weeks while the council ignores it — the watcher is watching it every 90 seconds the whole time.</w:t>
      </w:r>
    </w:p>
    <w:p w14:paraId="081A4B52" w14:textId="77777777" w:rsidR="00B57D7C" w:rsidRDefault="00B57D7C"/>
    <w:p w14:paraId="73C84BFF" w14:textId="77777777" w:rsidR="00B57D7C" w:rsidRDefault="00B57D7C"/>
    <w:p w14:paraId="66187337" w14:textId="77777777" w:rsidR="00B57D7C" w:rsidRDefault="00B57D7C">
      <w:pPr>
        <w:pBdr>
          <w:bottom w:val="single" w:sz="6" w:space="1" w:color="FF6B00"/>
        </w:pBdr>
        <w:spacing w:after="80"/>
      </w:pPr>
    </w:p>
    <w:p w14:paraId="5308EF4E" w14:textId="77777777" w:rsidR="00B57D7C" w:rsidRDefault="00000000">
      <w:pPr>
        <w:jc w:val="center"/>
      </w:pPr>
      <w:r>
        <w:rPr>
          <w:rFonts w:ascii="Calibri" w:hAnsi="Calibri"/>
          <w:i/>
          <w:color w:val="AAAAAA"/>
          <w:sz w:val="18"/>
        </w:rPr>
        <w:t>◈  CRUCIX REDLINE  ·  Confidential  ·  Internal Architecture Document</w:t>
      </w:r>
    </w:p>
    <w:sectPr w:rsidR="00B57D7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86421829">
    <w:abstractNumId w:val="8"/>
  </w:num>
  <w:num w:numId="2" w16cid:durableId="695276680">
    <w:abstractNumId w:val="6"/>
  </w:num>
  <w:num w:numId="3" w16cid:durableId="496773058">
    <w:abstractNumId w:val="5"/>
  </w:num>
  <w:num w:numId="4" w16cid:durableId="906375157">
    <w:abstractNumId w:val="4"/>
  </w:num>
  <w:num w:numId="5" w16cid:durableId="1453985174">
    <w:abstractNumId w:val="7"/>
  </w:num>
  <w:num w:numId="6" w16cid:durableId="582495277">
    <w:abstractNumId w:val="3"/>
  </w:num>
  <w:num w:numId="7" w16cid:durableId="489297408">
    <w:abstractNumId w:val="2"/>
  </w:num>
  <w:num w:numId="8" w16cid:durableId="349457059">
    <w:abstractNumId w:val="1"/>
  </w:num>
  <w:num w:numId="9" w16cid:durableId="18253128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7"/>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0F4F"/>
    <w:rsid w:val="0029639D"/>
    <w:rsid w:val="00326F90"/>
    <w:rsid w:val="00AA1D8D"/>
    <w:rsid w:val="00B35D06"/>
    <w:rsid w:val="00B47730"/>
    <w:rsid w:val="00B57D7C"/>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B1CB53"/>
  <w14:defaultImageDpi w14:val="300"/>
  <w15:docId w15:val="{6FF1A363-4E4A-4B96-9ECA-35D39080AF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1740</Words>
  <Characters>9922</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11639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Matt Drong</cp:lastModifiedBy>
  <cp:revision>2</cp:revision>
  <dcterms:created xsi:type="dcterms:W3CDTF">2013-12-23T23:15:00Z</dcterms:created>
  <dcterms:modified xsi:type="dcterms:W3CDTF">2026-04-10T17:35:00Z</dcterms:modified>
  <cp:category/>
</cp:coreProperties>
</file>