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8A8982"/>
          <w:spacing w:val="60"/>
          <w:sz w:val="26"/>
          <w:szCs w:val="26"/>
        </w:rPr>
        <w:t xml:space="preserve">CRUCIX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B22234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Project RedLine</w:t>
            </w:r>
          </w:p>
          <w:p>
            <w:r>
              <w:rPr>
                <w:color w:val="F3C9CD"/>
                <w:sz w:val="26"/>
                <w:szCs w:val="26"/>
              </w:rPr>
              <w:t xml:space="preserve">System Guide · concept &amp; technical</w:t>
            </w:r>
          </w:p>
        </w:tc>
      </w:tr>
    </w:tbl>
    <w:p>
      <w:pPr>
        <w:spacing w:after="120" w:before="360"/>
      </w:pPr>
      <w:r>
        <w:rPr>
          <w:i/>
          <w:iCs/>
          <w:color w:val="5F5E5A"/>
          <w:sz w:val="24"/>
          <w:szCs w:val="24"/>
        </w:rPr>
        <w:t xml:space="preserve">The autonomous-research, human-approved trading layer of Crucix — wide-angle research, one disciplined suggestion at a time, with a human on the trigger.</w:t>
      </w:r>
    </w:p>
    <w:p>
      <w:pPr>
        <w:pBdr>
          <w:top w:val="single" w:color="E2B8BC" w:sz="6"/>
        </w:pBdr>
        <w:spacing w:before="2400"/>
      </w:pPr>
      <w:r>
        <w:t xml:space="preserve"/>
      </w:r>
    </w:p>
    <w:p>
      <w:r>
        <w:rPr>
          <w:b/>
          <w:bCs/>
          <w:color w:val="7A1722"/>
          <w:sz w:val="20"/>
          <w:szCs w:val="20"/>
        </w:rPr>
        <w:t xml:space="preserve">Crucix · Project RedLine</w:t>
      </w:r>
      <w:r>
        <w:rPr>
          <w:color w:val="8A8982"/>
          <w:sz w:val="20"/>
          <w:szCs w:val="20"/>
        </w:rPr>
        <w:t xml:space="preserve">      Internal system documentation</w:t>
      </w:r>
    </w:p>
    <w:p>
      <w:r>
        <w:rPr>
          <w:color w:val="8A8982"/>
          <w:sz w:val="20"/>
          <w:szCs w:val="20"/>
        </w:rPr>
        <w:t xml:space="preserve">October 11, 2026</w:t>
      </w:r>
    </w:p>
    <w:p>
      <w:r>
        <w:br w:type="page"/>
      </w:r>
    </w:p>
    <w:p>
      <w:pPr>
        <w:spacing w:after="160"/>
      </w:pPr>
      <w:r>
        <w:rPr>
          <w:b/>
          <w:bCs/>
          <w:color w:val="B2223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1008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High concept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2">
            <w:r>
              <w:t xml:space="preserve">2. Design principles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3">
            <w:r>
              <w:t xml:space="preserve">3. The decision pipeline (end to end)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4">
            <w:r>
              <w:t xml:space="preserve">4. Architecture, layer by layer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5">
            <w:r>
              <w:t xml:space="preserve">4.1 Data layer — the sweep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6">
            <w:r>
              <w:t xml:space="preserve">4.2 Intelligence layer — shared market read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7">
            <w:r>
              <w:t xml:space="preserve">4.3 The agent — one analyst, one call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8">
            <w:r>
              <w:t xml:space="preserve">4.4 Memory &amp; learning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9">
            <w:r>
              <w:t xml:space="preserve">4.5 Risk layer — deterministic, model-independent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10">
            <w:r>
              <w:t xml:space="preserve">4.6 Execution &amp; proposal lifecycle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11">
            <w:r>
              <w:t xml:space="preserve">4.7 Delivery &amp; control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0080" w:leader="dot"/>
            </w:tabs>
            <w:ind w:left="220"/>
          </w:pPr>
          <w:hyperlink w:history="1" w:anchor="_Toc12">
            <w:r>
              <w:t xml:space="preserve">4.8 State (the runs/ directory)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13">
            <w:r>
              <w:t xml:space="preserve">5. How it learns (the loop that matters)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14">
            <w:r>
              <w:t xml:space="preserve">6. Strengths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15">
            <w:r>
              <w:t xml:space="preserve">7. Weaknesses &amp; limitations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16">
            <w:r>
              <w:t xml:space="preserve">8. Failure modes &amp; the safeguards that cover them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17">
            <w:r>
              <w:t xml:space="preserve">9. Where it’s headed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0080" w:leader="dot"/>
            </w:tabs>
          </w:pPr>
          <w:hyperlink w:history="1" w:anchor="_Toc18">
            <w:r>
              <w:t xml:space="preserve">10. File map (where to look)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bookmarkStart w:name="_Toc1" w:id="1"/>
      <w:r>
        <w:t xml:space="preserve">1. High concept</w:t>
      </w:r>
      <w:bookmarkEnd w:id="1"/>
    </w:p>
    <w:p>
      <w:pPr>
        <w:spacing w:after="120"/>
      </w:pPr>
      <w:r>
        <w:rPr>
          <w:b/>
          <w:bCs/>
        </w:rPr>
        <w:t xml:space="preserve">RedLine turns a firehose of market + world data into one well-reasoned trade suggestion at a time, and (by default) asks you before it acts.</w:t>
      </w:r>
    </w:p>
    <w:p>
      <w:pPr>
        <w:spacing w:after="120"/>
      </w:pPr>
      <w:r>
        <w:t xml:space="preserve">Most retail trading bots are reactive and autonomous: a rule fires, an order goes out. RedLine is the opposite shape on purpose: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analyst, not a rule engine. </w:t>
      </w:r>
      <w:r>
        <w:t xml:space="preserve">A single LLM agent ("Claude") reviews the whole situation each cycle the way a human analyst would — weighing a thesis, a counter-thesis, the portfolio, and its own past performance — and emits at most one proposal.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Recommends, doesn’t execute. </w:t>
      </w:r>
      <w:r>
        <w:t xml:space="preserve">Proposals are Accept/Deny cards. Nothing hits the brokerage until you approve (unless you flip on Auto mode). The one exception is capital protection: hard stop-losses sell without asking.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Breadth most retail systems don’t have. </w:t>
      </w:r>
      <w:r>
        <w:t xml:space="preserve">It fuses ~39 live sources — macro/economic, live prices, congressional trades, SEC filings, policy/executive actions, semiconductor lead indicators, and geopolitical OSINT — into the analyst’s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learns. </w:t>
      </w:r>
      <w:r>
        <w:t xml:space="preserve">Every resolved trade feeds a track record and a confidence-calibration score back into the agent’s next decision, so it adjusts toward what has actually worked for it.</w:t>
      </w:r>
    </w:p>
    <w:p>
      <w:pPr>
        <w:spacing w:after="120"/>
      </w:pPr>
      <w:r>
        <w:t xml:space="preserve">The guiding value, adapted from risk-first trading desks: </w:t>
      </w:r>
      <w:r>
        <w:rPr>
          <w:b/>
          <w:bCs/>
        </w:rPr>
        <w:t xml:space="preserve">"survives" beats "looks profitable."</w:t>
      </w:r>
      <w:r>
        <w:t xml:space="preserve"> Discipline (stop-losses, a circuit breaker, position sizing, approval gating) is never waived; aggression is a dial on top of it.</w:t>
      </w:r>
    </w:p>
    <w:p>
      <w:pPr>
        <w:pStyle w:val="Heading1"/>
        <w:spacing w:after="120" w:before="240"/>
      </w:pPr>
      <w:bookmarkStart w:name="_Toc2" w:id="2"/>
      <w:r>
        <w:t xml:space="preserve">2. Design principles</w:t>
      </w:r>
      <w:bookmarkEnd w:id="2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Human-in-the-loop by default. </w:t>
      </w:r>
      <w:r>
        <w:t xml:space="preserve">Approval gating is the safety model. Auto mode is opt-in.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Deterministic risk, independent of the model. </w:t>
      </w:r>
      <w:r>
        <w:t xml:space="preserve">The stop-loss watcher and the account circuit breaker are plain code with hard thresholds. The LLM cannot argue its way past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Quality over quantity. </w:t>
      </w:r>
      <w:r>
        <w:t xml:space="preserve">Most cycles are NO_ACTION. A daily new-buy cap discourages overtrading.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call is explainable. </w:t>
      </w:r>
      <w:r>
        <w:t xml:space="preserve">Each proposal carries reasoning, a bear case, cited sources, and a confidence score. Trade and plan reports are generated for the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 and learning. </w:t>
      </w:r>
      <w:r>
        <w:t xml:space="preserve">A per-stock "stance book" gives cross-cycle consistency; a track record + calibration close the feedback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Token-frugal. </w:t>
      </w:r>
      <w:r>
        <w:t xml:space="preserve">The sweep is distilled to a ~700–900 token digest; the default agent runs on a Claude subscription via the CLI rather than per-token API billing.</w:t>
      </w:r>
    </w:p>
    <w:p>
      <w:pPr>
        <w:pStyle w:val="Heading1"/>
        <w:spacing w:after="120" w:before="240"/>
      </w:pPr>
      <w:bookmarkStart w:name="_Toc3" w:id="3"/>
      <w:r>
        <w:t xml:space="preserve">3. The decision pipeline (end to end)</w:t>
      </w:r>
      <w:bookmarkEnd w:id="3"/>
    </w:p>
    <w:p>
      <w:pPr>
        <w:shd w:fill="F1EFE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Sources  →  Synthesize  →  Agent context  →  Claude decides  →  Accept → Execute  →  Feedback ↻</w:t>
      </w:r>
    </w:p>
    <w:p>
      <w:pPr>
        <w:shd w:fill="F1EFE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(~39 feeds) (clean+delta    (+ portfolio,       (think → bear      (guards →          (resolve P&amp;L →</w:t>
      </w:r>
    </w:p>
    <w:p>
      <w:pPr>
        <w:shd w:fill="F1EFE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+ideas/theses)   stances, record,    case → ONE call)   place order)        recalibrate)</w:t>
      </w:r>
    </w:p>
    <w:p>
      <w:pPr>
        <w:shd w:fill="F1EFE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guardrails)                 │</w:t>
      </w:r>
    </w:p>
    <w:p>
      <w:pPr>
        <w:shd w:fill="F1EFE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└→ NO_ACTION (nothing trades)</w:t>
      </w:r>
    </w:p>
    <w:p>
      <w:pPr>
        <w:spacing w:after="120"/>
      </w:pPr>
      <w:r>
        <w:t xml:space="preserve">The feedback arrow is the point: resolved outcomes re-enter the agent’s context, so the loop tightens over time. The stance book also updates "sideways" every cycle — even on a NO_ACTION sweep the agent can revise its per-stock plan, so its memory changes far more often than it trades.</w:t>
      </w:r>
    </w:p>
    <w:p>
      <w:pPr>
        <w:pStyle w:val="Heading1"/>
        <w:spacing w:after="120" w:before="240"/>
      </w:pPr>
      <w:bookmarkStart w:name="_Toc4" w:id="4"/>
      <w:r>
        <w:t xml:space="preserve">4. Architecture, layer by layer</w:t>
      </w:r>
      <w:bookmarkEnd w:id="4"/>
    </w:p>
    <w:p>
      <w:pPr>
        <w:pStyle w:val="Heading2"/>
        <w:spacing w:after="120" w:before="240"/>
      </w:pPr>
      <w:bookmarkStart w:name="_Toc5" w:id="5"/>
      <w:r>
        <w:t xml:space="preserve">4.1 Data layer — the sweep</w:t>
      </w:r>
      <w:bookmarkEnd w:id="5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Entry: </w:t>
      </w:r>
      <w:r>
        <w:t xml:space="preserve">apis/briefing.mjs → fullBriefing() runs ~39 sources in parallel, each with a 30s timeout, via runSource(). Failures are isolated — one dead feed never stalls the sweep.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Sources </w:t>
      </w:r>
      <w:r>
        <w:t xml:space="preserve">span tiers: core OSINT/geopolitical (GDELT, OpenSky, FIRMS, ACLED…), economic/financial (FRED, Treasury, BLS, EIA, GSCPI), live market data (Yahoo Finance quotes + movers screener), congressional trades + insiders (Bargo), policy/executive actions (Federal Register), SEC EDGAR (8-K/Form 4), semiconductor lead indicators (TrendForce), and news (Finnhub, NewsAPI). Many are keyless; see SOURCES.md.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Synthesis: </w:t>
      </w:r>
      <w:r>
        <w:t xml:space="preserve">dashboard/inject.mjs → synthesize() maps the raw source payloads into clean, predictable fields (fred, energy, markets, movers, congress, policy, sec…) and fetches an RSS feed. This is where "40 API shapes" becomes one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Delta + memory: </w:t>
      </w:r>
      <w:r>
        <w:t xml:space="preserve">lib/delta compares this sweep to the last and flags what escalated or is new. This gates expensive work — if nothing material changed, the LLM ideas/theses passes are skipped and cached results reused.</w:t>
      </w:r>
    </w:p>
    <w:p>
      <w:pPr>
        <w:pStyle w:val="Heading2"/>
        <w:spacing w:after="120" w:before="240"/>
      </w:pPr>
      <w:bookmarkStart w:name="_Toc6" w:id="6"/>
      <w:r>
        <w:t xml:space="preserve">4.2 Intelligence layer — shared market read</w:t>
      </w:r>
      <w:bookmarkEnd w:id="6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Ideas </w:t>
      </w:r>
      <w:r>
        <w:t xml:space="preserve">(lib/llm/ideas.mjs) — a market-wide brief of leverageable setups, throttled and delta-gated to conserve LLM quota.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Theses </w:t>
      </w:r>
      <w:r>
        <w:t xml:space="preserve">(lib/llm/thesis.mjs) — forward-pacing megatrend → "unpriced rung" maps (a trend’s bottleneck → the second-order stock that benefits). Cached and reused across restarts.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digest: </w:t>
      </w:r>
      <w:r>
        <w:t xml:space="preserve">compactSweepForLLM() distills everything the agent needs into a compact text block. This is the single biggest token lever.</w:t>
      </w:r>
    </w:p>
    <w:p>
      <w:pPr>
        <w:pStyle w:val="Heading2"/>
        <w:spacing w:after="120" w:before="240"/>
      </w:pPr>
      <w:bookmarkStart w:name="_Toc7" w:id="7"/>
      <w:r>
        <w:t xml:space="preserve">4.3 The agent — one analyst, one call</w:t>
      </w:r>
      <w:bookmarkEnd w:id="7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Core: </w:t>
      </w:r>
      <w:r>
        <w:t xml:space="preserve">lib/llm/analyst.mjs → generateProposal(). One provider.complete() call to Claude (default via the claude CLI on a subscription; Gemini fallback). No tool-calling loop — the context is pre-assembled and the model returns one JSON object.</w:t>
      </w:r>
    </w:p>
    <w:p>
      <w:pPr>
        <w:spacing w:after="120"/>
      </w:pPr>
      <w:r>
        <w:rPr>
          <w:b/>
          <w:bCs/>
        </w:rPr>
        <w:t xml:space="preserve">The system prompt encodes the method: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THINK FIRST — </w:t>
      </w:r>
      <w:r>
        <w:t xml:space="preserve">write reasoning and the single strongest bearCase before deciding. If the bear case wins → NO_ACTION.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PRIORITY (stop at first that applies) — </w:t>
      </w:r>
      <w:r>
        <w:t xml:space="preserve">(1) urgent maintenance on a held position (thesis broken, stop breached, take profit) → usually SELL; (2) the best single new buy, discovered top-down (megatrend → catalyst → sector → under-owned stock, confirmed by technicals); (3) NO_ACTION.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Risk rules — </w:t>
      </w:r>
      <w:r>
        <w:t xml:space="preserve">R/R floors (≥1.5:1 swing, ≥2:1 long), PDT handling, size-to-buying-power, and "small size is fine" so thin capital still gets deployed on strong setups.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Horizons double as risk bands — </w:t>
      </w:r>
      <w:r>
        <w:t xml:space="preserve">INTRADAY (~-2% stop), SWING (~-5%), LONG (~-12%), each with trailing behavior. A mandatory stopLoss price is required on every new buy.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one JSON proposal — action, ticker, side, order_type, price, units, stopLoss, confidence (0-100), expiresInMinutes, sources[], reasoning, bearCase, stanceUpdates[].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Strategy modes </w:t>
      </w:r>
      <w:r>
        <w:t xml:space="preserve">(STRATEGY_MODIFIERS) tune the bar for acting, never the risk floors: CONSERVATIVE / BALANCED / AGGRESSIVE / SCALPER. AUTO resolves a mode from live conditions: high VIX → CONSERVATIVE, calm + risk-on → AGGRESSIVE, heavy dislocation → SCALPER, else BALANCED.</w:t>
      </w:r>
    </w:p>
    <w:p>
      <w:pPr>
        <w:pStyle w:val="Heading2"/>
        <w:spacing w:after="120" w:before="240"/>
      </w:pPr>
      <w:bookmarkStart w:name="_Toc8" w:id="8"/>
      <w:r>
        <w:t xml:space="preserve">4.4 Memory &amp; learning</w:t>
      </w:r>
      <w:bookmarkEnd w:id="8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Stance book </w:t>
      </w:r>
      <w:r>
        <w:t xml:space="preserve">(lib/stances/store.mjs) — the agent’s living per-stock plan: a stance (WATCH / ACCUMULATE / HOLD / TRIM / EXIT / AVOID), a one-line thesis, an entry plan, an exit ("sell when…"), and a confidence. Persists across sweeps and is revised via stanceUpdates — this is what gives consistency instead of reacting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record </w:t>
      </w:r>
      <w:r>
        <w:t xml:space="preserve">(lib/llm/trackRecord.mjs) — distills resolved trades (runs/decisions.json) via computeStats into win rate, profit factor, by-horizon and by-signal performance, plus behavioral self-corrections ("your avg win is smaller than your avg loss — you’re cutting winners short").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Confidence calibration </w:t>
      </w:r>
      <w:r>
        <w:t xml:space="preserve">(lib/llm/calibration.mjs) — buckets resolved trades by the confidence the agent claimed vs the win rate it realized, plus a Brier score (0 = perfect, 0.25 = coin-flip). It tells the agent when it’s systematically over- or under-confident and in which band.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Standing directives </w:t>
      </w:r>
      <w:r>
        <w:t xml:space="preserve">(lib/directives/store.mjs) — general user instructions the agent must follow, added via "Propose a Plan".</w:t>
      </w:r>
    </w:p>
    <w:p>
      <w:pPr>
        <w:pStyle w:val="Heading2"/>
        <w:spacing w:after="120" w:before="240"/>
      </w:pPr>
      <w:bookmarkStart w:name="_Toc9" w:id="9"/>
      <w:r>
        <w:t xml:space="preserve">4.5 Risk layer — deterministic, model-independent</w:t>
      </w:r>
      <w:bookmarkEnd w:id="9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 stop-loss watcher </w:t>
      </w:r>
      <w:r>
        <w:t xml:space="preserve">(lib/alerts/stopLossWatcher.mjs) — runs on its own fast timer, bypasses Accept/Deny, and auto-sells to protect capital using each proposal’s stop price (or the per-horizon floor). Also trails to lock gains and converts an underwater INTRADAY position to SWING at the close. The one place the system acts without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Account circuit breaker </w:t>
      </w:r>
      <w:r>
        <w:t xml:space="preserve">(lib/risk/circuitBreaker.mjs) — if the account is down more than maxDailyLossPct on the ET day or more than maxDrawdownPct from its tracked peak, it halts new buys (maintenance/exits still allowed). It does not auto-flatten — it pauses new risk. A loss limit the model cannot talk its way past.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Mechanical guards on Accept — </w:t>
      </w:r>
      <w:r>
        <w:t xml:space="preserve">a live-quote sanity check (rejects orders whose price is implausibly far from market — a hallucination guard), the PDT day-trade circuit, and a fractional→Day time-in-force fix.</w:t>
      </w:r>
    </w:p>
    <w:p>
      <w:pPr>
        <w:pStyle w:val="Heading2"/>
        <w:spacing w:after="120" w:before="240"/>
      </w:pPr>
      <w:bookmarkStart w:name="_Toc10" w:id="10"/>
      <w:r>
        <w:t xml:space="preserve">4.6 Execution &amp; proposal lifecycle</w:t>
      </w:r>
      <w:bookmarkEnd w:id="10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Store </w:t>
      </w:r>
      <w:r>
        <w:t xml:space="preserve">(lib/proposals/store.mjs) — each proposal is persisted with a status: PENDING → ACCEPTED | DENIED | EXPIRED | EXECUTED | FAILED. Expiry deletes the Telegram card so stale offers disappear.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 path </w:t>
      </w:r>
      <w:r>
        <w:t xml:space="preserve">(server.mjs → acceptProposal) — guards → snapTrade.PlaceOrder → logDecisions (stamps the stated confidence) → generateTradeReport. In Auto mode a proposal self-accepts instantly and only then fires the execution alert to the news channel; manual accepts don’t spam that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Brokerage </w:t>
      </w:r>
      <w:r>
        <w:t xml:space="preserve">(lib/alerts/snaptrade.mjs) — SnapTrade connects to the user’s broker. Reads are cached and serially throttled; execution always re-checks a live quote.</w:t>
      </w:r>
    </w:p>
    <w:p>
      <w:pPr>
        <w:pStyle w:val="Heading2"/>
        <w:spacing w:after="120" w:before="240"/>
      </w:pPr>
      <w:bookmarkStart w:name="_Toc11" w:id="11"/>
      <w:r>
        <w:t xml:space="preserve">4.7 Delivery &amp; control</w:t>
      </w:r>
      <w:bookmarkEnd w:id="11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Dashboard </w:t>
      </w:r>
      <w:r>
        <w:t xml:space="preserve">(dashboard/public/redline.html) — portfolio header + value chart, positions, orders, the stance book panel, the decision cycle panel (with a live calibration Brier readout), a Fortune-500 live ticker, a reports viewer, and a settings gear (Auto Trade, horizons, strategy mode, min buying power, circuit-breaker thresholds, UI toggles).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Telegram </w:t>
      </w:r>
      <w:r>
        <w:t xml:space="preserve">(lib/alerts/telegram.mjs) — proposal cards with Accept/Deny buttons go to a dedicated proposals channel; alerts/status go to the news channel. Per-channel commands: /info, /plan, /propose, /portfolio (trades) and /status, /sweep, /brief (alerts).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Propose a Plan — </w:t>
      </w:r>
      <w:r>
        <w:t xml:space="preserve">the user can push an idea or directive; the agent evaluates it (evaluatePlanProposal) and returns ACCEPT / PARTIAL / DENY with reasoning, applying accepted stance edits or directives on the next sweep. Reckless ideas are denied.</w:t>
      </w:r>
    </w:p>
    <w:p>
      <w:pPr>
        <w:pStyle w:val="Heading2"/>
        <w:spacing w:after="120" w:before="240"/>
      </w:pPr>
      <w:bookmarkStart w:name="_Toc12" w:id="12"/>
      <w:r>
        <w:t xml:space="preserve">4.8 State (the runs/ directory)</w:t>
      </w:r>
      <w:bookmarkEnd w:id="12"/>
    </w:p>
    <w:p>
      <w:pPr>
        <w:spacing w:after="120"/>
      </w:pPr>
      <w:r>
        <w:t xml:space="preserve">Flat JSON stores, each a single source of truth: settings.json, stances.json, decisions.json (the trade ledger + resolved P&amp;L), proposals.json, directives.json, breaker.json, theses.json, latest.json (last raw sweep), reviewState.json.</w:t>
      </w:r>
    </w:p>
    <w:p>
      <w:pPr>
        <w:pStyle w:val="Heading1"/>
        <w:spacing w:after="120" w:before="240"/>
      </w:pPr>
      <w:bookmarkStart w:name="_Toc13" w:id="13"/>
      <w:r>
        <w:t xml:space="preserve">5. How it learns (the loop that matters)</w:t>
      </w:r>
      <w:bookmarkEnd w:id="13"/>
    </w:p>
    <w:p>
      <w:pPr>
        <w:pStyle w:val="ListParagraph"/>
        <w:numPr>
          <w:ilvl w:val="0"/>
          <w:numId w:val="3"/>
        </w:numPr>
      </w:pPr>
      <w:r>
        <w:t xml:space="preserve">A proposal is accepted → logDecisions records it with the stated confidence.</w:t>
      </w:r>
    </w:p>
    <w:p>
      <w:pPr>
        <w:pStyle w:val="ListParagraph"/>
        <w:numPr>
          <w:ilvl w:val="0"/>
          <w:numId w:val="3"/>
        </w:numPr>
      </w:pPr>
      <w:r>
        <w:t xml:space="preserve">positionResolver later marks it resolved (win/loss/breakeven + P&amp;L).</w:t>
      </w:r>
    </w:p>
    <w:p>
      <w:pPr>
        <w:pStyle w:val="ListParagraph"/>
        <w:numPr>
          <w:ilvl w:val="0"/>
          <w:numId w:val="3"/>
        </w:numPr>
      </w:pPr>
      <w:r>
        <w:t xml:space="preserve">On the next sweep, buildTrackRecord() and buildCalibration() read the ledger and inject compact self-corrections into the agent’s context.</w:t>
      </w:r>
    </w:p>
    <w:p>
      <w:pPr>
        <w:pStyle w:val="ListParagraph"/>
        <w:numPr>
          <w:ilvl w:val="0"/>
          <w:numId w:val="3"/>
        </w:numPr>
      </w:pPr>
      <w:r>
        <w:t xml:space="preserve">The agent adjusts: downweights losing horizons/signals, leans into winners, recalibrates its confidence.</w:t>
      </w:r>
    </w:p>
    <w:p>
      <w:pPr>
        <w:spacing w:after="120"/>
      </w:pPr>
      <w:r>
        <w:t xml:space="preserve">This is the single biggest lever on decision quality — it turns a reactive proposer into something that improves with its own history. It activates only after a minimum sample (TRACK_RECORD_MIN, CALIBRATION_MIN) so it doesn’t over-fit two trades.</w:t>
      </w:r>
    </w:p>
    <w:p>
      <w:pPr>
        <w:pStyle w:val="Heading1"/>
        <w:spacing w:after="120" w:before="240"/>
      </w:pPr>
      <w:bookmarkStart w:name="_Toc14" w:id="14"/>
      <w:r>
        <w:t xml:space="preserve">6. Strengths</w:t>
      </w:r>
      <w:bookmarkEnd w:id="14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Safety-first by construction. </w:t>
      </w:r>
      <w:r>
        <w:t xml:space="preserve">Approval gating + a deterministic risk layer the model can’t override is a genuinely different safety posture than autonomous rule bots.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Analyst-grade breadth. </w:t>
      </w:r>
      <w:r>
        <w:t xml:space="preserve">Macro + policy + congressional + SEC + semiconductor + OSINT in one view is far wider than price/indicator bots, and the top-down "megatrend → unpriced rung" funnel is a real edge when the data is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explains itself. </w:t>
      </w:r>
      <w:r>
        <w:t xml:space="preserve">Reasoning, an explicit bear case, cited sources, and a confidence number on every call — plus generated reports — make decisions auditable.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calibrates. </w:t>
      </w:r>
      <w:r>
        <w:t xml:space="preserve">Track record + Brier-scored confidence is rare in retail systems and directly attacks overconfidence and cutting winners short.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Consistency via memory. </w:t>
      </w:r>
      <w:r>
        <w:t xml:space="preserve">The stance book keeps a coherent plan per stock across cycles rather than re-deciding from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Cost-efficient. </w:t>
      </w:r>
      <w:r>
        <w:t xml:space="preserve">Token-frugal digest; default agent runs on a Claude subscription, not per-token billing. Most data sources are free-tier or keyless.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Tunable aggression without tunable risk. </w:t>
      </w:r>
      <w:r>
        <w:t xml:space="preserve">Strategy modes (incl. regime-aware AUTO) move the bar for acting while the stop-loss/R-R/circuit-breaker floors stay fixed.</w:t>
      </w:r>
    </w:p>
    <w:p>
      <w:pPr>
        <w:pStyle w:val="Heading1"/>
        <w:spacing w:after="120" w:before="240"/>
      </w:pPr>
      <w:bookmarkStart w:name="_Toc15" w:id="15"/>
      <w:r>
        <w:t xml:space="preserve">7. Weaknesses &amp; limitations</w:t>
      </w:r>
      <w:bookmarkEnd w:id="15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Signal fragility on free tiers. </w:t>
      </w:r>
      <w:r>
        <w:t xml:space="preserve">Keyed sources silently go dark when a free quota is exhausted (this bit the congressional feed on FMP — now on Bargo, with rate-limit detection + stale-fallback). Data quality varies sweep to sweep, and the agent isn’t yet told which signals are dark.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Latency vs. autonomous bots. </w:t>
      </w:r>
      <w:r>
        <w:t xml:space="preserve">Approvals happen at sweep interval, and every exit except the hard stop is a proposal — so for fast intraday moves the human-in-the-loop design is slower by nature. A deliberate trade of speed for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Cold-start learning. </w:t>
      </w:r>
      <w:r>
        <w:t xml:space="preserve">Track record and calibration need a meaningful number of resolved trades before they help. Learning is live-only — there’s no backtest/paper-sim harness, so the feedback loop costs real (if small) trades to train.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 variance. </w:t>
      </w:r>
      <w:r>
        <w:t xml:space="preserve">A model can still produce a weak proposal; the guards catch mechanically unsafe orders but not a plausible-looking bad idea — a user can still accept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Attribution is per-confidence, not yet per-source. </w:t>
      </w:r>
      <w:r>
        <w:t xml:space="preserve">Calibration tells you how well-calibrated the agent is, but the system doesn’t yet measure which of the ~39 sources actually predict outcomes, so OSINT breadth can add noise as well as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Single-tenant, flat-file state. </w:t>
      </w:r>
      <w:r>
        <w:t xml:space="preserve">runs/*.json isn’t concurrency-safe or namespaced per user; true multitenancy is designed but not built (see SOURCES.md).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Operational dependencies. </w:t>
      </w:r>
      <w:r>
        <w:t xml:space="preserve">The default agent needs the claude CLI logged in on the host and carries ~27k tokens of CLI overhead per call; SnapTrade and Telegram must be configured; a few data points are cached/stale (the digest’s VIX is FRED prior-close, not the live tick).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Stock/market-hours bound. </w:t>
      </w:r>
      <w:r>
        <w:t xml:space="preserve">Unlike 24/7 crypto bots, it operates in market windows; its risk and cadence assumptions are built around that.</w:t>
      </w:r>
    </w:p>
    <w:p>
      <w:pPr>
        <w:pStyle w:val="Heading1"/>
        <w:spacing w:after="120" w:before="240"/>
      </w:pPr>
      <w:bookmarkStart w:name="_Toc16" w:id="16"/>
      <w:r>
        <w:t xml:space="preserve">8. Failure modes &amp; the safeguards that cover them</w:t>
      </w:r>
      <w:bookmarkEnd w:id="16"/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20"/>
      </w:tblGrid>
      <w:tr>
        <w:trPr>
          <w:tblHeader/>
        </w:trPr>
        <w:tc>
          <w:tcPr>
            <w:tcW w:type="dxa" w:w="4000"/>
            <w:shd w:fill="B2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5320"/>
            <w:shd w:fill="B2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protects against it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data feed dies or rate-limits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Per-source isolation + timeout; dark signals logged; congress serves stale-on-error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proposes an absurd price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Live-quote hallucination guard rejects the order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bleeds out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Circuit breaker halts new buys at daily-loss / drawdown thresholds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position craters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stop-loss watcher auto-sells without approval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Overtrading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new-buy cap + "most cycles NO_ACTION" prompt bias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Overconfident sizing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calibration feeds the bias back for self-correction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PDT violation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isDayTrade circuit blocks the round-trip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Stale offers linger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Proposals expire and the Telegram card auto-deletes</w:t>
            </w:r>
          </w:p>
        </w:tc>
      </w:tr>
    </w:tbl>
    <w:p>
      <w:pPr>
        <w:pStyle w:val="Heading1"/>
        <w:spacing w:after="120" w:before="240"/>
      </w:pPr>
      <w:bookmarkStart w:name="_Toc17" w:id="17"/>
      <w:r>
        <w:t xml:space="preserve">9. Where it’s headed</w:t>
      </w:r>
      <w:bookmarkEnd w:id="17"/>
    </w:p>
    <w:p>
      <w:pPr>
        <w:spacing w:after="120"/>
      </w:pPr>
      <w:r>
        <w:t xml:space="preserve">The near-term architectural goal is multitenancy: one shared data server runs the ~39-source sweep + the ideas/thesis LLM and writes the synthesized intelligence to a database; many RedLine instances read from it and add per-user portfolio/stances/execution on top. The key split is already documented (data-server.env.example vs redline.env.example): market/OSINT keys are global and set up once; only SnapTrade user credentials and Telegram chat IDs are per-tenant. The real work there is making the per-tenant state (stances, decisions, breaker, proposals) isolated and concurrency-safe, not the keys.</w:t>
      </w:r>
    </w:p>
    <w:p>
      <w:pPr>
        <w:spacing w:after="120"/>
      </w:pPr>
      <w:r>
        <w:t xml:space="preserve">Other natural extensions: per-source predictive scoring (so breadth is pruned to what pays), a paper/backtest harness so learning isn’t live-only, and a data-health line in the agent context so it knows when a signal is dark.</w:t>
      </w:r>
    </w:p>
    <w:p>
      <w:pPr>
        <w:pStyle w:val="Heading1"/>
        <w:spacing w:after="120" w:before="240"/>
      </w:pPr>
      <w:bookmarkStart w:name="_Toc18" w:id="18"/>
      <w:r>
        <w:t xml:space="preserve">10. File map (where to look)</w:t>
      </w:r>
      <w:bookmarkEnd w:id="18"/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20"/>
      </w:tblGrid>
      <w:tr>
        <w:trPr>
          <w:tblHeader/>
        </w:trPr>
        <w:tc>
          <w:tcPr>
            <w:tcW w:type="dxa" w:w="3400"/>
            <w:shd w:fill="B2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920"/>
            <w:shd w:fill="B2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 orchestrator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apis/briefing.mjs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apis/sources/*.mjs (congress = Bargo)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Synthesis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dashboard/inject.mjs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Ideas / theses / digest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lib/llm/ideas.mjs, lib/llm/thesis.mjs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agent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lib/llm/analyst.mjs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Stance book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lib/stances/store.mjs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record / calibration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lib/llm/trackRecord.mjs, lib/llm/calibration.mjs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lib/risk/circuitBreaker.mjs, lib/alerts/stopLossWatcher.mjs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Proposals / execution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lib/proposals/store.mjs, server.mjs (acceptProposal)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Brokerage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lib/alerts/snaptrade.mjs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proposals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lib/llm/planProposal.mjs, lib/directives/store.mjs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 / commands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lib/alerts/telegram.mjs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dashboard/public/redline.html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lib/settings/store.mjs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/ sweep loop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server.mjs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Keys &amp; sources catalog</w:t>
            </w:r>
          </w:p>
        </w:tc>
        <w:tc>
          <w:tcPr>
            <w:tcW w:type="dxa" w:w="5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SOURCES.md</w:t>
            </w:r>
          </w:p>
        </w:tc>
      </w:tr>
    </w:tbl>
    <w:p>
      <w:pPr>
        <w:pBdr>
          <w:bottom w:val="single" w:color="D3D1C7" w:sz="6"/>
        </w:pBdr>
        <w:spacing w:after="160"/>
      </w:pPr>
      <w:r>
        <w:t xml:space="preserve"/>
      </w:r>
    </w:p>
    <w:p>
      <w:pPr>
        <w:spacing w:before="120"/>
      </w:pPr>
      <w:r>
        <w:rPr>
          <w:i/>
          <w:iCs/>
          <w:color w:val="5F5E5A"/>
        </w:rPr>
        <w:t xml:space="preserve">RedLine is the trading brain of Crucix: wide-angle research, one disciplined suggestion at a time, a human on the trigger, and a hard floor under the whole thing that no amount of model confidence can move.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080" w:right="1080" w:bottom="1260" w:left="108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982"/>
        <w:sz w:val="16"/>
        <w:szCs w:val="16"/>
      </w:rPr>
      <w:t xml:space="preserve">Crucix ·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982"/>
        <w:sz w:val="16"/>
        <w:szCs w:val="16"/>
      </w:rPr>
      <w:t xml:space="preserve"> / </w:t>
    </w:r>
    <w:r>
      <w:rPr>
        <w:color w:val="8A898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B8BC" w:sz="4" w:space="4"/>
      </w:pBdr>
      <w:jc w:val="right"/>
    </w:pPr>
    <w:r>
      <w:rPr>
        <w:color w:val="8A8982"/>
        <w:sz w:val="16"/>
        <w:szCs w:val="16"/>
      </w:rPr>
      <w:t xml:space="preserve">Project RedLine — System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B2223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B2223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2B8BC" w:sz="8" w:space="6"/>
      </w:pBdr>
      <w:spacing w:after="140" w:before="320"/>
    </w:pPr>
    <w:rPr>
      <w:b/>
      <w:bCs/>
      <w:color w:val="B222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b/>
      <w:bCs/>
      <w:color w:val="7A1722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2026-10-11T18:19:43.182Z</dcterms:created>
  <dcterms:modified xsi:type="dcterms:W3CDTF">2026-10-11T18:19:43.183Z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