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E1DE8" w14:textId="77777777" w:rsidR="003B2988" w:rsidRPr="003B2988" w:rsidRDefault="003B2988" w:rsidP="008F145E">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3B2988">
        <w:rPr>
          <w:rFonts w:ascii="Times New Roman" w:eastAsia="Times New Roman" w:hAnsi="Times New Roman" w:cs="Times New Roman"/>
          <w:b/>
          <w:bCs/>
          <w:kern w:val="36"/>
          <w:sz w:val="48"/>
          <w:szCs w:val="48"/>
          <w14:ligatures w14:val="none"/>
        </w:rPr>
        <w:t>Financial Analysis of Goldman Sachs</w:t>
      </w:r>
    </w:p>
    <w:p w14:paraId="59CE10CA" w14:textId="77777777" w:rsidR="003B2988" w:rsidRPr="003B2988" w:rsidRDefault="003B2988" w:rsidP="003B29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988">
        <w:rPr>
          <w:rFonts w:ascii="Times New Roman" w:eastAsia="Times New Roman" w:hAnsi="Times New Roman" w:cs="Times New Roman"/>
          <w:b/>
          <w:bCs/>
          <w:kern w:val="0"/>
          <w:sz w:val="36"/>
          <w:szCs w:val="36"/>
          <w14:ligatures w14:val="none"/>
        </w:rPr>
        <w:t>Introduction</w:t>
      </w:r>
    </w:p>
    <w:p w14:paraId="51670879"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This report presents a comprehensive financial analysis of Goldman Sachs as part of the DAB401 Financial Analytics course project. It examines the bank’s financial health, competitive position, and future prospects using both fundamental and technical analysis techniques. By evaluating financial ratios (liquidity, profitability, and solvency), valuing the stock via CAPM and WACC, and applying technical tools like moving averages, Monte Carlo simulation, and a Prophet forecast, we aim to determine Goldman Sachs’s performance and whether its stock is a sound investment.</w:t>
      </w:r>
    </w:p>
    <w:p w14:paraId="78BCE3CB" w14:textId="77777777" w:rsidR="003B2988" w:rsidRPr="003B2988" w:rsidRDefault="003B2988" w:rsidP="003B29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988">
        <w:rPr>
          <w:rFonts w:ascii="Times New Roman" w:eastAsia="Times New Roman" w:hAnsi="Times New Roman" w:cs="Times New Roman"/>
          <w:b/>
          <w:bCs/>
          <w:kern w:val="0"/>
          <w:sz w:val="36"/>
          <w:szCs w:val="36"/>
          <w14:ligatures w14:val="none"/>
        </w:rPr>
        <w:t>Company Overview</w:t>
      </w:r>
    </w:p>
    <w:p w14:paraId="017BDAC9"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History:</w:t>
      </w:r>
      <w:r w:rsidRPr="003B2988">
        <w:rPr>
          <w:rFonts w:ascii="Times New Roman" w:eastAsia="Times New Roman" w:hAnsi="Times New Roman" w:cs="Times New Roman"/>
          <w:kern w:val="0"/>
          <w14:ligatures w14:val="none"/>
        </w:rPr>
        <w:t xml:space="preserve"> Goldman Sachs was founded in 1869 by Marcus Goldman and began as a small enterprise dealing in commercial paper. Over the past century and a half, it expanded into one of the most influential investment banking and financial services firms in the world. A major milestone was going public in 1999, which provided capital for further growth and solidified its global presence.</w:t>
      </w:r>
    </w:p>
    <w:p w14:paraId="07850433"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Current Operations:</w:t>
      </w:r>
      <w:r w:rsidRPr="003B2988">
        <w:rPr>
          <w:rFonts w:ascii="Times New Roman" w:eastAsia="Times New Roman" w:hAnsi="Times New Roman" w:cs="Times New Roman"/>
          <w:kern w:val="0"/>
          <w14:ligatures w14:val="none"/>
        </w:rPr>
        <w:t xml:space="preserve"> Today, Goldman Sachs operates across several key business segments:</w:t>
      </w:r>
    </w:p>
    <w:p w14:paraId="14FECE54" w14:textId="77777777" w:rsidR="003B2988" w:rsidRPr="003B2988" w:rsidRDefault="003B2988" w:rsidP="003B298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Investment Banking:</w:t>
      </w:r>
      <w:r w:rsidRPr="003B2988">
        <w:rPr>
          <w:rFonts w:ascii="Times New Roman" w:eastAsia="Times New Roman" w:hAnsi="Times New Roman" w:cs="Times New Roman"/>
          <w:kern w:val="0"/>
          <w14:ligatures w14:val="none"/>
        </w:rPr>
        <w:t xml:space="preserve"> Advises companies on mergers, acquisitions, and capital raising through equity or debt markets.</w:t>
      </w:r>
    </w:p>
    <w:p w14:paraId="0E3E3B88" w14:textId="77777777" w:rsidR="003B2988" w:rsidRPr="003B2988" w:rsidRDefault="003B2988" w:rsidP="003B298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Global Markets:</w:t>
      </w:r>
      <w:r w:rsidRPr="003B2988">
        <w:rPr>
          <w:rFonts w:ascii="Times New Roman" w:eastAsia="Times New Roman" w:hAnsi="Times New Roman" w:cs="Times New Roman"/>
          <w:kern w:val="0"/>
          <w14:ligatures w14:val="none"/>
        </w:rPr>
        <w:t xml:space="preserve"> Conducts trading and market-making in various asset classes (equities, fixed income, currencies, commodities) and offers risk management solutions to clients.</w:t>
      </w:r>
    </w:p>
    <w:p w14:paraId="047E856C" w14:textId="77777777" w:rsidR="003B2988" w:rsidRPr="003B2988" w:rsidRDefault="003B2988" w:rsidP="003B298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Asset Management:</w:t>
      </w:r>
      <w:r w:rsidRPr="003B2988">
        <w:rPr>
          <w:rFonts w:ascii="Times New Roman" w:eastAsia="Times New Roman" w:hAnsi="Times New Roman" w:cs="Times New Roman"/>
          <w:kern w:val="0"/>
          <w14:ligatures w14:val="none"/>
        </w:rPr>
        <w:t xml:space="preserve"> Manages investment portfolios for institutions and individuals, striving to generate returns and wealth growth for clients.</w:t>
      </w:r>
    </w:p>
    <w:p w14:paraId="04D13420" w14:textId="77777777" w:rsidR="003B2988" w:rsidRPr="003B2988" w:rsidRDefault="003B2988" w:rsidP="003B298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Consumer &amp; Wealth Management:</w:t>
      </w:r>
      <w:r w:rsidRPr="003B2988">
        <w:rPr>
          <w:rFonts w:ascii="Times New Roman" w:eastAsia="Times New Roman" w:hAnsi="Times New Roman" w:cs="Times New Roman"/>
          <w:kern w:val="0"/>
          <w14:ligatures w14:val="none"/>
        </w:rPr>
        <w:t xml:space="preserve"> Provides banking and wealth management services (through initiatives like Marcus by Goldman Sachs) to retail customers and high-net-worth clients, including personalized financial advice and consumer lending.</w:t>
      </w:r>
    </w:p>
    <w:p w14:paraId="68C96E13"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Growth and Performance:</w:t>
      </w:r>
      <w:r w:rsidRPr="003B2988">
        <w:rPr>
          <w:rFonts w:ascii="Times New Roman" w:eastAsia="Times New Roman" w:hAnsi="Times New Roman" w:cs="Times New Roman"/>
          <w:kern w:val="0"/>
          <w14:ligatures w14:val="none"/>
        </w:rPr>
        <w:t xml:space="preserve"> Despite volatile global market conditions, Goldman Sachs has demonstrated resilient growth. It has strategically diversified into new areas such as consumer banking and financial technology. These initiatives indicate the firm’s adaptability and its pursuit of new revenue streams, which have contributed to maintaining strong overall performance.</w:t>
      </w:r>
    </w:p>
    <w:p w14:paraId="1290CB2D"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Competitors:</w:t>
      </w:r>
      <w:r w:rsidRPr="003B2988">
        <w:rPr>
          <w:rFonts w:ascii="Times New Roman" w:eastAsia="Times New Roman" w:hAnsi="Times New Roman" w:cs="Times New Roman"/>
          <w:kern w:val="0"/>
          <w14:ligatures w14:val="none"/>
        </w:rPr>
        <w:t xml:space="preserve"> Goldman Sachs competes with other leading global banks and financial institutions. Major competitors include JPMorgan Chase, Morgan Stanley, Citigroup, and Bank of America Merrill Lynch. These firms also offer broad financial services, and competition is intense in investment banking, trading, and wealth management.</w:t>
      </w:r>
    </w:p>
    <w:p w14:paraId="57CF274E"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Market Share:</w:t>
      </w:r>
      <w:r w:rsidRPr="003B2988">
        <w:rPr>
          <w:rFonts w:ascii="Times New Roman" w:eastAsia="Times New Roman" w:hAnsi="Times New Roman" w:cs="Times New Roman"/>
          <w:kern w:val="0"/>
          <w14:ligatures w14:val="none"/>
        </w:rPr>
        <w:t xml:space="preserve"> In the investment banking and global markets arena, Goldman Sachs holds a substantial market share and is considered a market leader. Its strong reputation and expertise </w:t>
      </w:r>
      <w:r w:rsidRPr="003B2988">
        <w:rPr>
          <w:rFonts w:ascii="Times New Roman" w:eastAsia="Times New Roman" w:hAnsi="Times New Roman" w:cs="Times New Roman"/>
          <w:kern w:val="0"/>
          <w14:ligatures w14:val="none"/>
        </w:rPr>
        <w:lastRenderedPageBreak/>
        <w:t>give it significant influence on financial markets and industry practices. This leadership position underscores its ability to win major deals and attract large clients, although it must continuously innovate to maintain its edge.</w:t>
      </w:r>
    </w:p>
    <w:p w14:paraId="4123D0C0" w14:textId="77777777" w:rsidR="003B2988" w:rsidRPr="003B2988" w:rsidRDefault="003B2988" w:rsidP="00E802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988">
        <w:rPr>
          <w:rFonts w:ascii="Times New Roman" w:eastAsia="Times New Roman" w:hAnsi="Times New Roman" w:cs="Times New Roman"/>
          <w:b/>
          <w:bCs/>
          <w:kern w:val="0"/>
          <w:sz w:val="36"/>
          <w:szCs w:val="36"/>
          <w14:ligatures w14:val="none"/>
        </w:rPr>
        <w:t>Financial Ratio and Valuation Analysis</w:t>
      </w:r>
    </w:p>
    <w:p w14:paraId="160C216E"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This section analyzes Goldman Sachs’s financial health using key ratios for liquidity, profitability, and solvency, and then evaluates the stock’s valuation using market metrics and valuation models.</w:t>
      </w:r>
    </w:p>
    <w:p w14:paraId="6A6B3DF8" w14:textId="77777777" w:rsidR="003B2988" w:rsidRPr="003B2988" w:rsidRDefault="003B2988" w:rsidP="003B29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2988">
        <w:rPr>
          <w:rFonts w:ascii="Times New Roman" w:eastAsia="Times New Roman" w:hAnsi="Times New Roman" w:cs="Times New Roman"/>
          <w:b/>
          <w:bCs/>
          <w:kern w:val="0"/>
          <w:sz w:val="27"/>
          <w:szCs w:val="27"/>
          <w14:ligatures w14:val="none"/>
        </w:rPr>
        <w:t>Liquidity Ratios (2024)</w:t>
      </w:r>
    </w:p>
    <w:p w14:paraId="2F353819" w14:textId="77777777" w:rsidR="003B2988" w:rsidRPr="003B2988" w:rsidRDefault="003B2988" w:rsidP="003B298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Current Ratio: 1.05</w:t>
      </w:r>
      <w:r w:rsidRPr="003B2988">
        <w:rPr>
          <w:rFonts w:ascii="Times New Roman" w:eastAsia="Times New Roman" w:hAnsi="Times New Roman" w:cs="Times New Roman"/>
          <w:kern w:val="0"/>
          <w14:ligatures w14:val="none"/>
        </w:rPr>
        <w:t xml:space="preserve"> – This ratio is calculated as current assets divided by current liabilities. A current ratio of 1.05 indicates Goldman Sachs has just slightly more current assets than current liabilities. The firm can cover its short-term obligations, but the margin of safety is small. In other words, for every dollar of short-term debt, Goldman Sachs has $1.05 in short-term assets, suggesting adequate, though not excessive, liquidity.</w:t>
      </w:r>
    </w:p>
    <w:p w14:paraId="27B5EB3A" w14:textId="77777777" w:rsidR="003B2988" w:rsidRPr="003B2988" w:rsidRDefault="003B2988" w:rsidP="003B298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Quick Ratio: 1.05</w:t>
      </w:r>
      <w:r w:rsidRPr="003B2988">
        <w:rPr>
          <w:rFonts w:ascii="Times New Roman" w:eastAsia="Times New Roman" w:hAnsi="Times New Roman" w:cs="Times New Roman"/>
          <w:kern w:val="0"/>
          <w14:ligatures w14:val="none"/>
        </w:rPr>
        <w:t xml:space="preserve"> – The quick ratio is similar to the current ratio but excludes inventories. Since Goldman Sachs, as a bank, holds virtually no inventories, the quick ratio is the same as the current ratio (1.05). This confirms that its liquid assets (cash and securities) are sufficient to meet short-term liabilities. A quick ratio above 1.0 is generally a positive sign for liquidity.</w:t>
      </w:r>
    </w:p>
    <w:p w14:paraId="090DE93D" w14:textId="77777777" w:rsidR="003B2988" w:rsidRPr="003B2988" w:rsidRDefault="003B2988" w:rsidP="003B298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Cash Ratio: 0.529</w:t>
      </w:r>
      <w:r w:rsidRPr="003B2988">
        <w:rPr>
          <w:rFonts w:ascii="Times New Roman" w:eastAsia="Times New Roman" w:hAnsi="Times New Roman" w:cs="Times New Roman"/>
          <w:kern w:val="0"/>
          <w14:ligatures w14:val="none"/>
        </w:rPr>
        <w:t xml:space="preserve"> – The cash ratio (cash and cash equivalents divided by current liabilities) is about 0.529. This means the firm has cash and equivalents equal to roughly 52.9% of its current liabilities. While less than 1, it’s not unusual for banks to have cash ratios below 1. Goldman Sachs’s cash on hand covers a little over half of short-term obligations, indicating a decent level of immediate liquidity but also reliance on other liquid assets or cash flows to fully cover short-term debts.</w:t>
      </w:r>
    </w:p>
    <w:p w14:paraId="75B9827A" w14:textId="77777777" w:rsidR="003B2988" w:rsidRPr="003B2988" w:rsidRDefault="003B2988" w:rsidP="003B29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2988">
        <w:rPr>
          <w:rFonts w:ascii="Times New Roman" w:eastAsia="Times New Roman" w:hAnsi="Times New Roman" w:cs="Times New Roman"/>
          <w:b/>
          <w:bCs/>
          <w:kern w:val="0"/>
          <w:sz w:val="27"/>
          <w:szCs w:val="27"/>
          <w14:ligatures w14:val="none"/>
        </w:rPr>
        <w:t>Profitability Ratios (2024)</w:t>
      </w:r>
    </w:p>
    <w:p w14:paraId="68CF80CC" w14:textId="77777777" w:rsidR="003B2988" w:rsidRPr="003B2988" w:rsidRDefault="003B2988" w:rsidP="003B29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Gross Profit Margin: 97.48%</w:t>
      </w:r>
      <w:r w:rsidRPr="003B2988">
        <w:rPr>
          <w:rFonts w:ascii="Times New Roman" w:eastAsia="Times New Roman" w:hAnsi="Times New Roman" w:cs="Times New Roman"/>
          <w:kern w:val="0"/>
          <w14:ligatures w14:val="none"/>
        </w:rPr>
        <w:t xml:space="preserve"> – Gross profit margin is gross profit divided by total revenue. Goldman Sachs’s extremely high gross margin (~97.5%) shows that after accounting for the direct costs of generating revenue (e.g., interest expense and cost of services), it retains nearly 97 cents on each dollar of revenue. This reflects the nature of its business (financial services have relatively low cost of revenue) and indicates strong core profitability. A high gross margin suggests efficient operations with low direct costs relative to revenue.</w:t>
      </w:r>
    </w:p>
    <w:p w14:paraId="7B8D0353" w14:textId="77777777" w:rsidR="003B2988" w:rsidRPr="003B2988" w:rsidRDefault="003B2988" w:rsidP="003B29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Operating Profit Margin: 34.38%</w:t>
      </w:r>
      <w:r w:rsidRPr="003B2988">
        <w:rPr>
          <w:rFonts w:ascii="Times New Roman" w:eastAsia="Times New Roman" w:hAnsi="Times New Roman" w:cs="Times New Roman"/>
          <w:kern w:val="0"/>
          <w14:ligatures w14:val="none"/>
        </w:rPr>
        <w:t xml:space="preserve"> – Operating margin is operating income divided by revenue. An operating margin of about 34.4% means that after covering all operating expenses (compensation, administrative costs, etc.), Goldman Sachs keeps roughly one-third of its revenue as operating profit. This healthy operating margin implies effective expense management and robust operating efficiency. It indicates the firm’s core operations are quite profitable before considering interest and taxes.</w:t>
      </w:r>
    </w:p>
    <w:p w14:paraId="6BC57299" w14:textId="77777777" w:rsidR="003B2988" w:rsidRPr="003B2988" w:rsidRDefault="003B2988" w:rsidP="003B29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lastRenderedPageBreak/>
        <w:t>Return on Assets (ROA): 0.85%</w:t>
      </w:r>
      <w:r w:rsidRPr="003B2988">
        <w:rPr>
          <w:rFonts w:ascii="Times New Roman" w:eastAsia="Times New Roman" w:hAnsi="Times New Roman" w:cs="Times New Roman"/>
          <w:kern w:val="0"/>
          <w14:ligatures w14:val="none"/>
        </w:rPr>
        <w:t xml:space="preserve"> – ROA is net income divided by total assets. Goldman Sachs’s ROA of 0.85% is relatively modest. This means for each dollar of </w:t>
      </w:r>
      <w:r w:rsidR="00E9093C" w:rsidRPr="003B2988">
        <w:rPr>
          <w:rFonts w:ascii="Times New Roman" w:eastAsia="Times New Roman" w:hAnsi="Times New Roman" w:cs="Times New Roman"/>
          <w:kern w:val="0"/>
          <w14:ligatures w14:val="none"/>
        </w:rPr>
        <w:t>assets;</w:t>
      </w:r>
      <w:r w:rsidRPr="003B2988">
        <w:rPr>
          <w:rFonts w:ascii="Times New Roman" w:eastAsia="Times New Roman" w:hAnsi="Times New Roman" w:cs="Times New Roman"/>
          <w:kern w:val="0"/>
          <w14:ligatures w14:val="none"/>
        </w:rPr>
        <w:t xml:space="preserve"> the company generates less than one cent of profit annually. In the banking industry, ROA is typically low (often 1% or below) because banks have massive asset bases. An ROA of 0.85% is in line with industry norms, reflecting that Goldman Sachs’s asset utilization yields a moderate return.</w:t>
      </w:r>
    </w:p>
    <w:p w14:paraId="10CA43B5" w14:textId="77777777" w:rsidR="003B2988" w:rsidRPr="003B2988" w:rsidRDefault="003B2988" w:rsidP="003B29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Return on Equity (ROE): 8.02%</w:t>
      </w:r>
      <w:r w:rsidRPr="003B2988">
        <w:rPr>
          <w:rFonts w:ascii="Times New Roman" w:eastAsia="Times New Roman" w:hAnsi="Times New Roman" w:cs="Times New Roman"/>
          <w:kern w:val="0"/>
          <w14:ligatures w14:val="none"/>
        </w:rPr>
        <w:t xml:space="preserve"> – ROE is net income divided by shareholders’ equity, indicating how well the firm generates returns for its stockholders. An 8.02% ROE means shareholders earned about 8 cents on each dollar of equity invested in 2024. This is a reasonable, if not high, ROE. It suggests Goldman Sachs is providing a fair return to equity investors, but perhaps lower than some peers or previous years, partly due to the capital-intensive nature of banking and regulatory capital requirements.</w:t>
      </w:r>
    </w:p>
    <w:p w14:paraId="3A942E6D" w14:textId="77777777" w:rsidR="003B2988" w:rsidRPr="003B2988" w:rsidRDefault="003B2988" w:rsidP="003B29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Return on Sales (ROS): 35.27%</w:t>
      </w:r>
      <w:r w:rsidRPr="003B2988">
        <w:rPr>
          <w:rFonts w:ascii="Times New Roman" w:eastAsia="Times New Roman" w:hAnsi="Times New Roman" w:cs="Times New Roman"/>
          <w:kern w:val="0"/>
          <w14:ligatures w14:val="none"/>
        </w:rPr>
        <w:t xml:space="preserve"> – ROS (or net profit margin) is net income divided by total revenue. Goldman Sachs converted approximately 35.3% of its revenues into net profit. This high net profit margin underscores strong overall profitability and indicates that after all expenses (including interest and taxes), more than one-third of revenue remains as profit. A ROS in the 30s% is robust and reflects both high margins and controlled costs.</w:t>
      </w:r>
    </w:p>
    <w:p w14:paraId="61C5E3DD" w14:textId="77777777" w:rsidR="003B2988" w:rsidRPr="003B2988" w:rsidRDefault="003B2988" w:rsidP="003B29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Return on Investment (ROI): 2.0%</w:t>
      </w:r>
      <w:r w:rsidRPr="003B2988">
        <w:rPr>
          <w:rFonts w:ascii="Times New Roman" w:eastAsia="Times New Roman" w:hAnsi="Times New Roman" w:cs="Times New Roman"/>
          <w:kern w:val="0"/>
          <w14:ligatures w14:val="none"/>
        </w:rPr>
        <w:t xml:space="preserve"> – ROI here likely refers to return on total investments or perhaps a broad measure including long-term investments. At ~2.0%, it suggests that the returns on Goldman’s broader investment portfolio (which could include strategic investments or retained earnings deployment) are modest. This low figure could reflect the conservative nature of some investments or the impact of low interest rates. It is positive, but there is room for improvement to ensure investments are yielding higher returns.</w:t>
      </w:r>
    </w:p>
    <w:p w14:paraId="7FC36E12" w14:textId="77777777" w:rsidR="003B2988" w:rsidRPr="003B2988" w:rsidRDefault="003B2988" w:rsidP="003B29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2988">
        <w:rPr>
          <w:rFonts w:ascii="Times New Roman" w:eastAsia="Times New Roman" w:hAnsi="Times New Roman" w:cs="Times New Roman"/>
          <w:b/>
          <w:bCs/>
          <w:kern w:val="0"/>
          <w:sz w:val="27"/>
          <w:szCs w:val="27"/>
          <w14:ligatures w14:val="none"/>
        </w:rPr>
        <w:t>Solvency and Leverage</w:t>
      </w:r>
    </w:p>
    <w:p w14:paraId="0762B21C" w14:textId="77777777" w:rsidR="003B2988" w:rsidRPr="003B2988" w:rsidRDefault="003B2988" w:rsidP="003B298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Debt-to-Equity Ratio: 2.81</w:t>
      </w:r>
      <w:r w:rsidRPr="003B2988">
        <w:rPr>
          <w:rFonts w:ascii="Times New Roman" w:eastAsia="Times New Roman" w:hAnsi="Times New Roman" w:cs="Times New Roman"/>
          <w:kern w:val="0"/>
          <w14:ligatures w14:val="none"/>
        </w:rPr>
        <w:t xml:space="preserve"> – The D/E ratio compares total debt to total shareholders’ equity. Goldman Sachs has a debt-to-equity of 2.81, meaning it uses $2.81 in debt for every $1 of equity. This is a relatively high leverage ratio, although not uncommon for large banks which often leverage their equity to finance assets. A 2.81 ratio highlights that the company relies significantly on borrowed funds. While leverage can amplify returns, it also introduces higher financial risk, so a high D/E warrants careful monitoring.</w:t>
      </w:r>
    </w:p>
    <w:p w14:paraId="7057A287" w14:textId="77777777" w:rsidR="003B2988" w:rsidRDefault="003B2988" w:rsidP="003B298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Solvency Ratio: 0.0204 (2.04%)</w:t>
      </w:r>
      <w:r w:rsidRPr="003B2988">
        <w:rPr>
          <w:rFonts w:ascii="Times New Roman" w:eastAsia="Times New Roman" w:hAnsi="Times New Roman" w:cs="Times New Roman"/>
          <w:kern w:val="0"/>
          <w14:ligatures w14:val="none"/>
        </w:rPr>
        <w:t xml:space="preserve"> – The solvency ratio typically measures after-tax income plus depreciation divided by total debt obligations. Goldman Sachs’s solvency ratio of ~2.04% is quite low. This implies that its current profits provide only a small buffer relative to its total debt. In other words, after accounting for non-cash charges, the income available is just about 2% of debt, indicating heavy reliance on debt and modest coverage. However, large banks often operate with low solvency ratios due to their high debt levels, and they manage solvency through stable cash flows and refinancing rather than solely through annual earnings.</w:t>
      </w:r>
    </w:p>
    <w:p w14:paraId="6D030462" w14:textId="77777777" w:rsidR="00E80271" w:rsidRPr="003B2988" w:rsidRDefault="00E80271" w:rsidP="00E80271">
      <w:pPr>
        <w:spacing w:before="100" w:beforeAutospacing="1" w:after="100" w:afterAutospacing="1" w:line="240" w:lineRule="auto"/>
        <w:rPr>
          <w:rFonts w:ascii="Times New Roman" w:eastAsia="Times New Roman" w:hAnsi="Times New Roman" w:cs="Times New Roman"/>
          <w:kern w:val="0"/>
          <w14:ligatures w14:val="none"/>
        </w:rPr>
      </w:pPr>
    </w:p>
    <w:p w14:paraId="27CC20CF" w14:textId="77777777" w:rsidR="003B2988" w:rsidRPr="003B2988" w:rsidRDefault="003B2988" w:rsidP="003B29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2988">
        <w:rPr>
          <w:rFonts w:ascii="Times New Roman" w:eastAsia="Times New Roman" w:hAnsi="Times New Roman" w:cs="Times New Roman"/>
          <w:b/>
          <w:bCs/>
          <w:kern w:val="0"/>
          <w:sz w:val="27"/>
          <w:szCs w:val="27"/>
          <w14:ligatures w14:val="none"/>
        </w:rPr>
        <w:lastRenderedPageBreak/>
        <w:t>Market Valuation Metrics (2024)</w:t>
      </w:r>
    </w:p>
    <w:p w14:paraId="5D136CC1" w14:textId="77777777" w:rsidR="003B2988" w:rsidRPr="003B2988" w:rsidRDefault="003B2988" w:rsidP="003B298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Price-to-Earnings (P/E) Ratio:</w:t>
      </w:r>
      <w:r w:rsidRPr="003B2988">
        <w:rPr>
          <w:rFonts w:ascii="Times New Roman" w:eastAsia="Times New Roman" w:hAnsi="Times New Roman" w:cs="Times New Roman"/>
          <w:kern w:val="0"/>
          <w14:ligatures w14:val="none"/>
        </w:rPr>
        <w:t xml:space="preserve"> Based on 2024 earnings, Goldman Sachs’s P/E is approximately </w:t>
      </w:r>
      <w:r w:rsidRPr="003B2988">
        <w:rPr>
          <w:rFonts w:ascii="Times New Roman" w:eastAsia="Times New Roman" w:hAnsi="Times New Roman" w:cs="Times New Roman"/>
          <w:b/>
          <w:bCs/>
          <w:kern w:val="0"/>
          <w14:ligatures w14:val="none"/>
        </w:rPr>
        <w:t>12.3</w:t>
      </w:r>
      <w:r w:rsidRPr="003B2988">
        <w:rPr>
          <w:rFonts w:ascii="Times New Roman" w:eastAsia="Times New Roman" w:hAnsi="Times New Roman" w:cs="Times New Roman"/>
          <w:kern w:val="0"/>
          <w14:ligatures w14:val="none"/>
        </w:rPr>
        <w:t>. This was computed using the market capitalization (around $175 billion) divided by the net income. A P/E of ~12 indicates that the stock is trading at about 12 times its annual earnings. This is relatively low compared to the broader market, which often has P/Es in the high teens or 20s. A lower P/E could mean the stock is undervalued or that investors expect slower growth or higher risk for Goldman Sachs. It suggests the market has modest expectations for future earnings growth relative to some higher P/E firms.</w:t>
      </w:r>
    </w:p>
    <w:p w14:paraId="4D4013DC" w14:textId="77777777" w:rsidR="003B2988" w:rsidRPr="003B2988" w:rsidRDefault="003B2988" w:rsidP="003B298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Dividend Payout Ratio:</w:t>
      </w:r>
      <w:r w:rsidRPr="003B2988">
        <w:rPr>
          <w:rFonts w:ascii="Times New Roman" w:eastAsia="Times New Roman" w:hAnsi="Times New Roman" w:cs="Times New Roman"/>
          <w:kern w:val="0"/>
          <w14:ligatures w14:val="none"/>
        </w:rPr>
        <w:t xml:space="preserve"> Goldman Sachs paid out roughly </w:t>
      </w:r>
      <w:r w:rsidRPr="003B2988">
        <w:rPr>
          <w:rFonts w:ascii="Times New Roman" w:eastAsia="Times New Roman" w:hAnsi="Times New Roman" w:cs="Times New Roman"/>
          <w:b/>
          <w:bCs/>
          <w:kern w:val="0"/>
          <w14:ligatures w14:val="none"/>
        </w:rPr>
        <w:t>31.5%</w:t>
      </w:r>
      <w:r w:rsidRPr="003B2988">
        <w:rPr>
          <w:rFonts w:ascii="Times New Roman" w:eastAsia="Times New Roman" w:hAnsi="Times New Roman" w:cs="Times New Roman"/>
          <w:kern w:val="0"/>
          <w14:ligatures w14:val="none"/>
        </w:rPr>
        <w:t xml:space="preserve"> of its 2024 earnings as dividends to shareholders. This payout ratio indicates that nearly one-third of profits were returned to shareholders, while the remaining two-thirds were retained in the company (for reinvestment or strengthening the balance sheet). A 31.5% payout is a moderate policy, balancing rewarding shareholders with cash and keeping earnings to fuel future growth. It also implies a retention ratio of about 68.5%, which feeds into the firm’s sustainable growth potential.</w:t>
      </w:r>
    </w:p>
    <w:p w14:paraId="2E46C068" w14:textId="77777777" w:rsidR="003B2988" w:rsidRPr="003B2988" w:rsidRDefault="003B2988" w:rsidP="003B298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Sustainable Growth Rate (SGR):</w:t>
      </w:r>
      <w:r w:rsidRPr="003B2988">
        <w:rPr>
          <w:rFonts w:ascii="Times New Roman" w:eastAsia="Times New Roman" w:hAnsi="Times New Roman" w:cs="Times New Roman"/>
          <w:kern w:val="0"/>
          <w14:ligatures w14:val="none"/>
        </w:rPr>
        <w:t xml:space="preserve"> The sustainable growth rate can be estimated by ROE × (1 – payout ratio). Using Goldman’s ROE of ~8.02% and a retention ratio of ~68.5%, the SGR is approximately </w:t>
      </w:r>
      <w:r w:rsidRPr="003B2988">
        <w:rPr>
          <w:rFonts w:ascii="Times New Roman" w:eastAsia="Times New Roman" w:hAnsi="Times New Roman" w:cs="Times New Roman"/>
          <w:b/>
          <w:bCs/>
          <w:kern w:val="0"/>
          <w14:ligatures w14:val="none"/>
        </w:rPr>
        <w:t>5.5%</w:t>
      </w:r>
      <w:r w:rsidRPr="003B2988">
        <w:rPr>
          <w:rFonts w:ascii="Times New Roman" w:eastAsia="Times New Roman" w:hAnsi="Times New Roman" w:cs="Times New Roman"/>
          <w:kern w:val="0"/>
          <w14:ligatures w14:val="none"/>
        </w:rPr>
        <w:t>. This figure represents the rate at which Goldman Sachs could grow its equity and earnings internally, using retained earnings, without needing to raise additional capital or increase leverage. An SGR of 5.5% suggests moderate growth potential from reinvested profits. It indicates that if the bank maintains its ROE and dividend policy, it can grow its earnings by about 5-6% per year sustainably.</w:t>
      </w:r>
    </w:p>
    <w:p w14:paraId="6B501551" w14:textId="77777777" w:rsidR="003B2988" w:rsidRPr="003B2988" w:rsidRDefault="003B2988" w:rsidP="00E802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2988">
        <w:rPr>
          <w:rFonts w:ascii="Times New Roman" w:eastAsia="Times New Roman" w:hAnsi="Times New Roman" w:cs="Times New Roman"/>
          <w:b/>
          <w:bCs/>
          <w:kern w:val="0"/>
          <w:sz w:val="27"/>
          <w:szCs w:val="27"/>
          <w14:ligatures w14:val="none"/>
        </w:rPr>
        <w:t>CAPM and Cost of Equity</w:t>
      </w:r>
    </w:p>
    <w:p w14:paraId="7A4EC5D3"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The Capital Asset Pricing Model (CAPM) is used to estimate the cost of equity (the return required by shareholders). It is expressed as:</w:t>
      </w:r>
    </w:p>
    <w:p w14:paraId="3B08242B"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Cost of Equity (Re) = R_f + beta </w:t>
      </w:r>
      <w:r w:rsidR="004446FB">
        <w:rPr>
          <w:rFonts w:ascii="Times New Roman" w:eastAsia="Times New Roman" w:hAnsi="Times New Roman" w:cs="Times New Roman"/>
          <w:kern w:val="0"/>
          <w14:ligatures w14:val="none"/>
        </w:rPr>
        <w:t>*</w:t>
      </w:r>
      <w:r w:rsidR="00D37FD2">
        <w:rPr>
          <w:rFonts w:ascii="Times New Roman" w:eastAsia="Times New Roman" w:hAnsi="Times New Roman" w:cs="Times New Roman"/>
          <w:kern w:val="0"/>
          <w14:ligatures w14:val="none"/>
        </w:rPr>
        <w:t xml:space="preserve"> </w:t>
      </w:r>
      <w:r w:rsidRPr="003B2988">
        <w:rPr>
          <w:rFonts w:ascii="Times New Roman" w:eastAsia="Times New Roman" w:hAnsi="Times New Roman" w:cs="Times New Roman"/>
          <w:kern w:val="0"/>
          <w14:ligatures w14:val="none"/>
        </w:rPr>
        <w:t>(R_m - R_f)</w:t>
      </w:r>
    </w:p>
    <w:p w14:paraId="42604A7B"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Where:</w:t>
      </w:r>
    </w:p>
    <w:p w14:paraId="031627C1" w14:textId="77777777" w:rsidR="003B2988" w:rsidRPr="003B2988" w:rsidRDefault="003B2988" w:rsidP="003B298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R_f = Risk-free rate (typically the yield on 10-year U.S. Treasury bonds).</w:t>
      </w:r>
    </w:p>
    <w:p w14:paraId="03FFCD24" w14:textId="77777777" w:rsidR="003B2988" w:rsidRPr="003B2988" w:rsidRDefault="003B2988" w:rsidP="003B298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R_m = Expected market return (for example, average return of the S&amp;P 500).</w:t>
      </w:r>
    </w:p>
    <w:p w14:paraId="076D9023" w14:textId="77777777" w:rsidR="003B2988" w:rsidRPr="003B2988" w:rsidRDefault="003B2988" w:rsidP="003B298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beta = Beta of the stock (measure of volatility relative to the market).</w:t>
      </w:r>
    </w:p>
    <w:p w14:paraId="113F3FB6"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For Goldman Sachs:</w:t>
      </w:r>
    </w:p>
    <w:p w14:paraId="427BEBC2" w14:textId="77777777" w:rsidR="003B2988" w:rsidRPr="003B2988" w:rsidRDefault="003B2988" w:rsidP="003B298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Beta (β): 1.19</w:t>
      </w:r>
      <w:r w:rsidRPr="003B2988">
        <w:rPr>
          <w:rFonts w:ascii="Times New Roman" w:eastAsia="Times New Roman" w:hAnsi="Times New Roman" w:cs="Times New Roman"/>
          <w:kern w:val="0"/>
          <w14:ligatures w14:val="none"/>
        </w:rPr>
        <w:t xml:space="preserve"> – Goldman’s beta of 1.19 means its stock is about 19% more volatile than the overall market. A beta above 1.0 signifies that if the market moves up or down, Goldman’s stock tends to move in the same direction but with slightly greater magnitude. This higher volatility reflects the sensitivity of a bank stock to economic and market swings.</w:t>
      </w:r>
    </w:p>
    <w:p w14:paraId="27103EBB" w14:textId="77777777" w:rsidR="003B2988" w:rsidRPr="003B2988" w:rsidRDefault="003B2988" w:rsidP="003B298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lastRenderedPageBreak/>
        <w:t>Risk-Free Rate (Rf): 4.06%</w:t>
      </w:r>
      <w:r w:rsidRPr="003B2988">
        <w:rPr>
          <w:rFonts w:ascii="Times New Roman" w:eastAsia="Times New Roman" w:hAnsi="Times New Roman" w:cs="Times New Roman"/>
          <w:kern w:val="0"/>
          <w14:ligatures w14:val="none"/>
        </w:rPr>
        <w:t xml:space="preserve"> – We use ~4.06% as the risk-free rate, corresponding to the current yield on 10-year U.S. Treasury bonds. This rate is considered “risk-free” because it’s backed by the U.S. government, and serves as the baseline for required returns.</w:t>
      </w:r>
    </w:p>
    <w:p w14:paraId="354349D3" w14:textId="77777777" w:rsidR="003B2988" w:rsidRPr="003B2988" w:rsidRDefault="003B2988" w:rsidP="003B298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Market Return (Rm): 10.02%</w:t>
      </w:r>
      <w:r w:rsidRPr="003B2988">
        <w:rPr>
          <w:rFonts w:ascii="Times New Roman" w:eastAsia="Times New Roman" w:hAnsi="Times New Roman" w:cs="Times New Roman"/>
          <w:kern w:val="0"/>
          <w14:ligatures w14:val="none"/>
        </w:rPr>
        <w:t xml:space="preserve"> – Assuming the long-run expected return of the stock market (e.g., S&amp;P 500) is about 10.02%. This represents the average annual return investors might expect from a well-diversified stock portfolio.</w:t>
      </w:r>
    </w:p>
    <w:p w14:paraId="7173FED6" w14:textId="77777777" w:rsidR="003B2988" w:rsidRPr="003B2988" w:rsidRDefault="003B2988" w:rsidP="003B298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Cost of Equity (Re): 11.18%</w:t>
      </w:r>
      <w:r w:rsidRPr="003B2988">
        <w:rPr>
          <w:rFonts w:ascii="Times New Roman" w:eastAsia="Times New Roman" w:hAnsi="Times New Roman" w:cs="Times New Roman"/>
          <w:kern w:val="0"/>
          <w14:ligatures w14:val="none"/>
        </w:rPr>
        <w:t xml:space="preserve"> – Plugging the values into CAPM:</w:t>
      </w:r>
    </w:p>
    <w:p w14:paraId="0A045A1F" w14:textId="77777777" w:rsidR="003B2988" w:rsidRPr="003B2988" w:rsidRDefault="003B2988" w:rsidP="003B2988">
      <w:pPr>
        <w:spacing w:before="100" w:beforeAutospacing="1" w:after="100" w:afterAutospacing="1" w:line="240" w:lineRule="auto"/>
        <w:ind w:left="720"/>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Re = 4.06% + 1.19 </w:t>
      </w:r>
      <w:r w:rsidR="00E925C9">
        <w:rPr>
          <w:rFonts w:ascii="Times New Roman" w:eastAsia="Times New Roman" w:hAnsi="Times New Roman" w:cs="Times New Roman"/>
          <w:kern w:val="0"/>
          <w14:ligatures w14:val="none"/>
        </w:rPr>
        <w:t>*</w:t>
      </w:r>
      <w:r w:rsidRPr="003B2988">
        <w:rPr>
          <w:rFonts w:ascii="Times New Roman" w:eastAsia="Times New Roman" w:hAnsi="Times New Roman" w:cs="Times New Roman"/>
          <w:kern w:val="0"/>
          <w14:ligatures w14:val="none"/>
        </w:rPr>
        <w:t xml:space="preserve"> (10.02% - 4.06%) </w:t>
      </w:r>
      <w:r w:rsidR="00391D3F">
        <w:rPr>
          <w:rFonts w:ascii="Times New Roman" w:eastAsia="Times New Roman" w:hAnsi="Times New Roman" w:cs="Times New Roman"/>
          <w:kern w:val="0"/>
          <w14:ligatures w14:val="none"/>
        </w:rPr>
        <w:t>=</w:t>
      </w:r>
      <w:r w:rsidR="00852C0C">
        <w:rPr>
          <w:rFonts w:ascii="Times New Roman" w:eastAsia="Times New Roman" w:hAnsi="Times New Roman" w:cs="Times New Roman"/>
          <w:kern w:val="0"/>
          <w14:ligatures w14:val="none"/>
        </w:rPr>
        <w:t xml:space="preserve"> </w:t>
      </w:r>
      <w:r w:rsidR="00262041" w:rsidRPr="003B2988">
        <w:rPr>
          <w:rFonts w:ascii="Times New Roman" w:eastAsia="Times New Roman" w:hAnsi="Times New Roman" w:cs="Times New Roman"/>
          <w:kern w:val="0"/>
          <w14:ligatures w14:val="none"/>
        </w:rPr>
        <w:t>approx.</w:t>
      </w:r>
      <w:r w:rsidRPr="003B2988">
        <w:rPr>
          <w:rFonts w:ascii="Times New Roman" w:eastAsia="Times New Roman" w:hAnsi="Times New Roman" w:cs="Times New Roman"/>
          <w:kern w:val="0"/>
          <w14:ligatures w14:val="none"/>
        </w:rPr>
        <w:t xml:space="preserve"> 11.18%.</w:t>
      </w:r>
    </w:p>
    <w:p w14:paraId="64020CD5" w14:textId="77777777" w:rsidR="003B2988" w:rsidRPr="003B2988" w:rsidRDefault="003B2988" w:rsidP="00E80271">
      <w:pPr>
        <w:spacing w:before="100" w:beforeAutospacing="1" w:after="100" w:afterAutospacing="1" w:line="240" w:lineRule="auto"/>
        <w:ind w:left="720"/>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This indicates that shareholders of Goldman Sachs require roughly an 11.2% annual return on their investment to be compensated for the stock’s risk. In other words, to justify the risk of owning Goldman’s equity (given its volatility), the expected return should be about 11.18%. This cost of equity will be used in valuation (e.g., WACC and discounted cash flow models).</w:t>
      </w:r>
    </w:p>
    <w:p w14:paraId="3DB342B6"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It’s important to note that Goldman’s </w:t>
      </w:r>
      <w:r w:rsidRPr="003B2988">
        <w:rPr>
          <w:rFonts w:ascii="Times New Roman" w:eastAsia="Times New Roman" w:hAnsi="Times New Roman" w:cs="Times New Roman"/>
          <w:b/>
          <w:bCs/>
          <w:kern w:val="0"/>
          <w14:ligatures w14:val="none"/>
        </w:rPr>
        <w:t>Return on Equity (ROE)</w:t>
      </w:r>
      <w:r w:rsidRPr="003B2988">
        <w:rPr>
          <w:rFonts w:ascii="Times New Roman" w:eastAsia="Times New Roman" w:hAnsi="Times New Roman" w:cs="Times New Roman"/>
          <w:kern w:val="0"/>
          <w14:ligatures w14:val="none"/>
        </w:rPr>
        <w:t xml:space="preserve"> of 8.02% (from the profitability analysis) is lower than this cost of equity (~11.18%). This suggests that in 2024, the company’s return for shareholders was below what equity investors might consider an acceptable return (per CAPM). This could be a potential concern – ideally, a firm should generate ROE above the cost of equity to create shareholder value. The lower ROE could be due to temporary factors or higher capital base; investors will watch if Goldman can improve ROE in the future.</w:t>
      </w:r>
    </w:p>
    <w:p w14:paraId="21131936" w14:textId="77777777" w:rsidR="003B2988" w:rsidRPr="003B2988" w:rsidRDefault="003B2988" w:rsidP="00E802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2988">
        <w:rPr>
          <w:rFonts w:ascii="Times New Roman" w:eastAsia="Times New Roman" w:hAnsi="Times New Roman" w:cs="Times New Roman"/>
          <w:b/>
          <w:bCs/>
          <w:kern w:val="0"/>
          <w:sz w:val="27"/>
          <w:szCs w:val="27"/>
          <w14:ligatures w14:val="none"/>
        </w:rPr>
        <w:t>Free Cash Flow Analysis</w:t>
      </w:r>
    </w:p>
    <w:p w14:paraId="74BADEF7"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Free Cash Flow (2024): –$15,303 million (negative)</w:t>
      </w:r>
      <w:r w:rsidRPr="003B2988">
        <w:rPr>
          <w:rFonts w:ascii="Times New Roman" w:eastAsia="Times New Roman" w:hAnsi="Times New Roman" w:cs="Times New Roman"/>
          <w:kern w:val="0"/>
          <w14:ligatures w14:val="none"/>
        </w:rPr>
        <w:t xml:space="preserve"> – Goldman Sachs’s free cash flow (FCF) for 2024 was </w:t>
      </w:r>
      <w:r w:rsidRPr="003B2988">
        <w:rPr>
          <w:rFonts w:ascii="Times New Roman" w:eastAsia="Times New Roman" w:hAnsi="Times New Roman" w:cs="Times New Roman"/>
          <w:b/>
          <w:bCs/>
          <w:kern w:val="0"/>
          <w14:ligatures w14:val="none"/>
        </w:rPr>
        <w:t>negative</w:t>
      </w:r>
      <w:r w:rsidRPr="003B2988">
        <w:rPr>
          <w:rFonts w:ascii="Times New Roman" w:eastAsia="Times New Roman" w:hAnsi="Times New Roman" w:cs="Times New Roman"/>
          <w:kern w:val="0"/>
          <w14:ligatures w14:val="none"/>
        </w:rPr>
        <w:t xml:space="preserve"> (approximately -$15.3 billion). Free cash flow is calculated as operating cash flow minus capital expenditures. A negative FCF indicates that the company spent more on investments (such as loans, acquisitions, or capital projects) than the cash it generated from operations.</w:t>
      </w:r>
    </w:p>
    <w:p w14:paraId="4008AC55"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A substantial negative FCF suggests a few possibilities:</w:t>
      </w:r>
    </w:p>
    <w:p w14:paraId="27C8036F" w14:textId="77777777" w:rsidR="003B2988" w:rsidRPr="003B2988" w:rsidRDefault="003B2988" w:rsidP="003B298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Heavy Investment:</w:t>
      </w:r>
      <w:r w:rsidRPr="003B2988">
        <w:rPr>
          <w:rFonts w:ascii="Times New Roman" w:eastAsia="Times New Roman" w:hAnsi="Times New Roman" w:cs="Times New Roman"/>
          <w:kern w:val="0"/>
          <w14:ligatures w14:val="none"/>
        </w:rPr>
        <w:t xml:space="preserve"> The firm could be investing aggressively in new projects, technologies, or business lines (for example, expanding its consumer banking platform or other strategic investments). Such investments, while hurting short-term cash flow, may drive future growth and returns.</w:t>
      </w:r>
    </w:p>
    <w:p w14:paraId="3F3888E6" w14:textId="77777777" w:rsidR="003B2988" w:rsidRPr="003B2988" w:rsidRDefault="003B2988" w:rsidP="003B298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Reduced Operating Cash:</w:t>
      </w:r>
      <w:r w:rsidRPr="003B2988">
        <w:rPr>
          <w:rFonts w:ascii="Times New Roman" w:eastAsia="Times New Roman" w:hAnsi="Times New Roman" w:cs="Times New Roman"/>
          <w:kern w:val="0"/>
          <w14:ligatures w14:val="none"/>
        </w:rPr>
        <w:t xml:space="preserve"> It might also reflect a period of lower operating cash inflows, perhaps due to market conditions or increased payouts (like higher bonuses or other operating expenses).</w:t>
      </w:r>
    </w:p>
    <w:p w14:paraId="76E8B5A5" w14:textId="77777777" w:rsidR="003B2988" w:rsidRPr="003B2988" w:rsidRDefault="003B2988" w:rsidP="003B298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Financing Through Other Means:</w:t>
      </w:r>
      <w:r w:rsidRPr="003B2988">
        <w:rPr>
          <w:rFonts w:ascii="Times New Roman" w:eastAsia="Times New Roman" w:hAnsi="Times New Roman" w:cs="Times New Roman"/>
          <w:kern w:val="0"/>
          <w14:ligatures w14:val="none"/>
        </w:rPr>
        <w:t xml:space="preserve"> Negative FCF means Goldman likely funded its investments through external financing (debt or equity issuance) or by using cash reserves. Given Goldman’s high debt capacity and liquidity, it can afford periods of negative FCF, but it’s not sustainable long-term without expected payoff.</w:t>
      </w:r>
    </w:p>
    <w:p w14:paraId="588D6FD4"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p>
    <w:p w14:paraId="4507FFA4"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lastRenderedPageBreak/>
        <w:t>Overall, the negative free cash flow signals that 2024 was a year of net cash outflow for Goldman Sachs’s business expansion or acquisitions. Investors would interpret this in light of the context: if these outflows are building future profit streams, it can be positive, but if they represent ongoing issues, it would be a red flag. For Goldman, it likely reflects strategic investments and should be monitored in future years to see a return to positive FCF.</w:t>
      </w:r>
    </w:p>
    <w:p w14:paraId="5EE7186F" w14:textId="77777777" w:rsidR="003B2988" w:rsidRPr="003B2988" w:rsidRDefault="003B2988" w:rsidP="00E802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2988">
        <w:rPr>
          <w:rFonts w:ascii="Times New Roman" w:eastAsia="Times New Roman" w:hAnsi="Times New Roman" w:cs="Times New Roman"/>
          <w:b/>
          <w:bCs/>
          <w:kern w:val="0"/>
          <w:sz w:val="27"/>
          <w:szCs w:val="27"/>
          <w14:ligatures w14:val="none"/>
        </w:rPr>
        <w:t>WACC and Intrinsic Stock Value Estimation</w:t>
      </w:r>
    </w:p>
    <w:p w14:paraId="57FCBAAE" w14:textId="77777777" w:rsidR="001F2D26" w:rsidRPr="001F2D26" w:rsidRDefault="001F2D26" w:rsidP="001F2D26">
      <w:pPr>
        <w:spacing w:before="100" w:beforeAutospacing="1" w:after="100" w:afterAutospacing="1" w:line="240" w:lineRule="auto"/>
        <w:rPr>
          <w:rFonts w:ascii="Times New Roman" w:eastAsia="Times New Roman" w:hAnsi="Times New Roman" w:cs="Times New Roman"/>
          <w:b/>
          <w:bCs/>
          <w:kern w:val="0"/>
          <w14:ligatures w14:val="none"/>
        </w:rPr>
      </w:pPr>
      <w:r w:rsidRPr="001F2D26">
        <w:rPr>
          <w:rFonts w:ascii="Times New Roman" w:eastAsia="Times New Roman" w:hAnsi="Times New Roman" w:cs="Times New Roman"/>
          <w:b/>
          <w:bCs/>
          <w:kern w:val="0"/>
          <w14:ligatures w14:val="none"/>
        </w:rPr>
        <w:t>Weighted Average Cost of Capital (WACC): 16.00%</w:t>
      </w:r>
    </w:p>
    <w:p w14:paraId="15929648" w14:textId="77777777" w:rsidR="001F2D26" w:rsidRPr="001F2D26" w:rsidRDefault="001F2D26" w:rsidP="001F2D26">
      <w:pPr>
        <w:spacing w:before="100" w:beforeAutospacing="1" w:after="100" w:afterAutospacing="1" w:line="240" w:lineRule="auto"/>
        <w:rPr>
          <w:rFonts w:ascii="Times New Roman" w:eastAsia="Times New Roman" w:hAnsi="Times New Roman" w:cs="Times New Roman"/>
          <w:kern w:val="0"/>
          <w14:ligatures w14:val="none"/>
        </w:rPr>
      </w:pPr>
      <w:r w:rsidRPr="001F2D26">
        <w:rPr>
          <w:rFonts w:ascii="Times New Roman" w:eastAsia="Times New Roman" w:hAnsi="Times New Roman" w:cs="Times New Roman"/>
          <w:kern w:val="0"/>
          <w14:ligatures w14:val="none"/>
        </w:rPr>
        <w:t>WACC represents the average rate of return that the company must earn to finance its assets, weighted by its capital structure (debt and equity). We calculated WACC using:</w:t>
      </w:r>
    </w:p>
    <w:p w14:paraId="339BFF4E" w14:textId="77777777" w:rsidR="001F2D26" w:rsidRPr="001F2D26" w:rsidRDefault="001F2D26" w:rsidP="001F2D2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F2D26">
        <w:rPr>
          <w:rFonts w:ascii="Times New Roman" w:eastAsia="Times New Roman" w:hAnsi="Times New Roman" w:cs="Times New Roman"/>
          <w:b/>
          <w:bCs/>
          <w:kern w:val="0"/>
          <w14:ligatures w14:val="none"/>
        </w:rPr>
        <w:t>Cost of Equity (Re) ~16.02% (from CAPM)</w:t>
      </w:r>
      <w:r w:rsidRPr="001F2D26">
        <w:rPr>
          <w:rFonts w:ascii="Times New Roman" w:eastAsia="Times New Roman" w:hAnsi="Times New Roman" w:cs="Times New Roman"/>
          <w:kern w:val="0"/>
          <w14:ligatures w14:val="none"/>
        </w:rPr>
        <w:t xml:space="preserve"> – calculated using a risk-free rate (Rf) of 4.055%, a market risk premium (Rm) of 10.02%, and a beta of 1.1939.</w:t>
      </w:r>
    </w:p>
    <w:p w14:paraId="029E2131" w14:textId="77777777" w:rsidR="001F2D26" w:rsidRPr="001F2D26" w:rsidRDefault="001F2D26" w:rsidP="001F2D2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F2D26">
        <w:rPr>
          <w:rFonts w:ascii="Times New Roman" w:eastAsia="Times New Roman" w:hAnsi="Times New Roman" w:cs="Times New Roman"/>
          <w:b/>
          <w:bCs/>
          <w:kern w:val="0"/>
          <w14:ligatures w14:val="none"/>
        </w:rPr>
        <w:t>Cost of Debt (Rd) ~9.18% (pre-tax)</w:t>
      </w:r>
      <w:r w:rsidRPr="001F2D26">
        <w:rPr>
          <w:rFonts w:ascii="Times New Roman" w:eastAsia="Times New Roman" w:hAnsi="Times New Roman" w:cs="Times New Roman"/>
          <w:kern w:val="0"/>
          <w14:ligatures w14:val="none"/>
        </w:rPr>
        <w:t xml:space="preserve"> – derived from the company’s interest expense of $73.34 million and an average total debt of ~$799.34 million. As interest is tax-deductible, the cost of debt could be adjusted downward for after-tax purposes, though in this case the full rate is used.</w:t>
      </w:r>
    </w:p>
    <w:p w14:paraId="076BFDB7" w14:textId="77777777" w:rsidR="001F2D26" w:rsidRPr="001F2D26" w:rsidRDefault="001F2D26" w:rsidP="001F2D2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F2D26">
        <w:rPr>
          <w:rFonts w:ascii="Times New Roman" w:eastAsia="Times New Roman" w:hAnsi="Times New Roman" w:cs="Times New Roman"/>
          <w:b/>
          <w:bCs/>
          <w:kern w:val="0"/>
          <w14:ligatures w14:val="none"/>
        </w:rPr>
        <w:t>Capital Structure Weights</w:t>
      </w:r>
      <w:r w:rsidRPr="001F2D26">
        <w:rPr>
          <w:rFonts w:ascii="Times New Roman" w:eastAsia="Times New Roman" w:hAnsi="Times New Roman" w:cs="Times New Roman"/>
          <w:kern w:val="0"/>
          <w14:ligatures w14:val="none"/>
        </w:rPr>
        <w:t xml:space="preserve"> – The company’s </w:t>
      </w:r>
      <w:r w:rsidRPr="001F2D26">
        <w:rPr>
          <w:rFonts w:ascii="Times New Roman" w:eastAsia="Times New Roman" w:hAnsi="Times New Roman" w:cs="Times New Roman"/>
          <w:b/>
          <w:bCs/>
          <w:kern w:val="0"/>
          <w14:ligatures w14:val="none"/>
        </w:rPr>
        <w:t>market cap is $175.01 billion</w:t>
      </w:r>
      <w:r w:rsidRPr="001F2D26">
        <w:rPr>
          <w:rFonts w:ascii="Times New Roman" w:eastAsia="Times New Roman" w:hAnsi="Times New Roman" w:cs="Times New Roman"/>
          <w:kern w:val="0"/>
          <w14:ligatures w14:val="none"/>
        </w:rPr>
        <w:t xml:space="preserve">, while </w:t>
      </w:r>
      <w:r w:rsidRPr="001F2D26">
        <w:rPr>
          <w:rFonts w:ascii="Times New Roman" w:eastAsia="Times New Roman" w:hAnsi="Times New Roman" w:cs="Times New Roman"/>
          <w:b/>
          <w:bCs/>
          <w:kern w:val="0"/>
          <w14:ligatures w14:val="none"/>
        </w:rPr>
        <w:t>total debt is only $342.56 million</w:t>
      </w:r>
      <w:r w:rsidRPr="001F2D26">
        <w:rPr>
          <w:rFonts w:ascii="Times New Roman" w:eastAsia="Times New Roman" w:hAnsi="Times New Roman" w:cs="Times New Roman"/>
          <w:kern w:val="0"/>
          <w14:ligatures w14:val="none"/>
        </w:rPr>
        <w:t xml:space="preserve">, yielding a </w:t>
      </w:r>
      <w:r w:rsidRPr="001F2D26">
        <w:rPr>
          <w:rFonts w:ascii="Times New Roman" w:eastAsia="Times New Roman" w:hAnsi="Times New Roman" w:cs="Times New Roman"/>
          <w:b/>
          <w:bCs/>
          <w:kern w:val="0"/>
          <w14:ligatures w14:val="none"/>
        </w:rPr>
        <w:t>debt-to-total-capital ratio of just ~0.20%</w:t>
      </w:r>
      <w:r w:rsidRPr="001F2D26">
        <w:rPr>
          <w:rFonts w:ascii="Times New Roman" w:eastAsia="Times New Roman" w:hAnsi="Times New Roman" w:cs="Times New Roman"/>
          <w:kern w:val="0"/>
          <w14:ligatures w14:val="none"/>
        </w:rPr>
        <w:t>. This indicates the company is overwhelmingly financed by equity when viewed through market value lenses.</w:t>
      </w:r>
    </w:p>
    <w:p w14:paraId="54F10FB3" w14:textId="77777777" w:rsidR="001F2D26" w:rsidRPr="001F2D26" w:rsidRDefault="001F2D26" w:rsidP="001F2D26">
      <w:pPr>
        <w:spacing w:before="100" w:beforeAutospacing="1" w:after="100" w:afterAutospacing="1" w:line="240" w:lineRule="auto"/>
        <w:rPr>
          <w:rFonts w:ascii="Times New Roman" w:eastAsia="Times New Roman" w:hAnsi="Times New Roman" w:cs="Times New Roman"/>
          <w:kern w:val="0"/>
          <w14:ligatures w14:val="none"/>
        </w:rPr>
      </w:pPr>
      <w:r w:rsidRPr="001F2D26">
        <w:rPr>
          <w:rFonts w:ascii="Times New Roman" w:eastAsia="Times New Roman" w:hAnsi="Times New Roman" w:cs="Times New Roman"/>
          <w:kern w:val="0"/>
          <w14:ligatures w14:val="none"/>
        </w:rPr>
        <w:t xml:space="preserve">Given these inputs, the </w:t>
      </w:r>
      <w:r w:rsidRPr="001F2D26">
        <w:rPr>
          <w:rFonts w:ascii="Times New Roman" w:eastAsia="Times New Roman" w:hAnsi="Times New Roman" w:cs="Times New Roman"/>
          <w:b/>
          <w:bCs/>
          <w:kern w:val="0"/>
          <w14:ligatures w14:val="none"/>
        </w:rPr>
        <w:t>WACC is approximately 16.00%</w:t>
      </w:r>
      <w:r w:rsidRPr="001F2D26">
        <w:rPr>
          <w:rFonts w:ascii="Times New Roman" w:eastAsia="Times New Roman" w:hAnsi="Times New Roman" w:cs="Times New Roman"/>
          <w:kern w:val="0"/>
          <w14:ligatures w14:val="none"/>
        </w:rPr>
        <w:t>. This is almost equal to the cost of equity, which makes intuitive sense given the company’s minimal use of debt in its capital structure. A 16.00% WACC means the company needs to generate at least a 16% return on investments and operations to satisfy all capital providers. Projects or expansions earning more than 16% will add value; those returning less could destroy it.</w:t>
      </w:r>
    </w:p>
    <w:p w14:paraId="3AAFCCAF" w14:textId="77777777" w:rsidR="001F2D26" w:rsidRPr="001F2D26" w:rsidRDefault="001F2D26" w:rsidP="001F2D26">
      <w:pPr>
        <w:spacing w:before="100" w:beforeAutospacing="1" w:after="100" w:afterAutospacing="1" w:line="240" w:lineRule="auto"/>
        <w:rPr>
          <w:rFonts w:ascii="Times New Roman" w:eastAsia="Times New Roman" w:hAnsi="Times New Roman" w:cs="Times New Roman"/>
          <w:b/>
          <w:bCs/>
          <w:kern w:val="0"/>
          <w14:ligatures w14:val="none"/>
        </w:rPr>
      </w:pPr>
      <w:r w:rsidRPr="001F2D26">
        <w:rPr>
          <w:rFonts w:ascii="Times New Roman" w:eastAsia="Times New Roman" w:hAnsi="Times New Roman" w:cs="Times New Roman"/>
          <w:b/>
          <w:bCs/>
          <w:kern w:val="0"/>
          <w14:ligatures w14:val="none"/>
        </w:rPr>
        <w:t>Intrinsic Stock Value</w:t>
      </w:r>
    </w:p>
    <w:p w14:paraId="054C1DE2" w14:textId="77777777" w:rsidR="001F2D26" w:rsidRPr="001F2D26" w:rsidRDefault="001F2D26" w:rsidP="001F2D26">
      <w:pPr>
        <w:spacing w:before="100" w:beforeAutospacing="1" w:after="100" w:afterAutospacing="1" w:line="240" w:lineRule="auto"/>
        <w:rPr>
          <w:rFonts w:ascii="Times New Roman" w:eastAsia="Times New Roman" w:hAnsi="Times New Roman" w:cs="Times New Roman"/>
          <w:kern w:val="0"/>
          <w14:ligatures w14:val="none"/>
        </w:rPr>
      </w:pPr>
      <w:r w:rsidRPr="001F2D26">
        <w:rPr>
          <w:rFonts w:ascii="Times New Roman" w:eastAsia="Times New Roman" w:hAnsi="Times New Roman" w:cs="Times New Roman"/>
          <w:kern w:val="0"/>
          <w14:ligatures w14:val="none"/>
        </w:rPr>
        <w:t>Using the WACC and related inputs, we can attempt to estimate the company's intrinsic value (i.e., its theoretically fair stock price). While a full discounted cash flow (DCF) analysis would be more precise, we can extract insights from simplified valuation perspectives:</w:t>
      </w:r>
    </w:p>
    <w:p w14:paraId="54232571" w14:textId="77777777" w:rsidR="001F2D26" w:rsidRPr="001F2D26" w:rsidRDefault="001F2D26" w:rsidP="001F2D2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F2D26">
        <w:rPr>
          <w:rFonts w:ascii="Times New Roman" w:eastAsia="Times New Roman" w:hAnsi="Times New Roman" w:cs="Times New Roman"/>
          <w:b/>
          <w:bCs/>
          <w:kern w:val="0"/>
          <w14:ligatures w14:val="none"/>
        </w:rPr>
        <w:t>Current Market Cap is $175.01 billion</w:t>
      </w:r>
      <w:r w:rsidRPr="001F2D26">
        <w:rPr>
          <w:rFonts w:ascii="Times New Roman" w:eastAsia="Times New Roman" w:hAnsi="Times New Roman" w:cs="Times New Roman"/>
          <w:kern w:val="0"/>
          <w14:ligatures w14:val="none"/>
        </w:rPr>
        <w:t>, reflecting investor expectations for moderate growth and profitability. Assuming earnings normalize and free cash flows improve, the market appears to price the firm with a high return requirement due to the elevated WACC.</w:t>
      </w:r>
    </w:p>
    <w:p w14:paraId="63603EAF" w14:textId="77777777" w:rsidR="001F2D26" w:rsidRPr="001F2D26" w:rsidRDefault="001F2D26" w:rsidP="001F2D2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F2D26">
        <w:rPr>
          <w:rFonts w:ascii="Times New Roman" w:eastAsia="Times New Roman" w:hAnsi="Times New Roman" w:cs="Times New Roman"/>
          <w:b/>
          <w:bCs/>
          <w:kern w:val="0"/>
          <w14:ligatures w14:val="none"/>
        </w:rPr>
        <w:t>Discounted Cash Flow (DCF) View</w:t>
      </w:r>
      <w:r w:rsidRPr="001F2D26">
        <w:rPr>
          <w:rFonts w:ascii="Times New Roman" w:eastAsia="Times New Roman" w:hAnsi="Times New Roman" w:cs="Times New Roman"/>
          <w:kern w:val="0"/>
          <w14:ligatures w14:val="none"/>
        </w:rPr>
        <w:t>: Using the WACC of 16.00% as a discount rate, any future cash flows would need to be substantial to justify current valuation. With limited debt and a strong equity base, the firm has flexibility but must earn high returns to meet investor expectations. Assuming long-term sustainable growth of 5–6% and earnings stabilization, the stock may be near fair value but lacks a clear undervaluation signal unless growth or margins improve meaningfully.</w:t>
      </w:r>
    </w:p>
    <w:p w14:paraId="7E51A938" w14:textId="77777777" w:rsidR="001F2D26" w:rsidRPr="001F2D26" w:rsidRDefault="001F2D26" w:rsidP="001F2D2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F2D26">
        <w:rPr>
          <w:rFonts w:ascii="Times New Roman" w:eastAsia="Times New Roman" w:hAnsi="Times New Roman" w:cs="Times New Roman"/>
          <w:b/>
          <w:bCs/>
          <w:kern w:val="0"/>
          <w14:ligatures w14:val="none"/>
        </w:rPr>
        <w:lastRenderedPageBreak/>
        <w:t>Dividend Discount Model (DDM) Check</w:t>
      </w:r>
      <w:r w:rsidRPr="001F2D26">
        <w:rPr>
          <w:rFonts w:ascii="Times New Roman" w:eastAsia="Times New Roman" w:hAnsi="Times New Roman" w:cs="Times New Roman"/>
          <w:kern w:val="0"/>
          <w14:ligatures w14:val="none"/>
        </w:rPr>
        <w:t xml:space="preserve">: If the company were to pay dividends aligned with market norms (e.g., a 25–30% payout ratio), and if we assume a 5.5% long-term growth rate, the implied intrinsic value </w:t>
      </w:r>
      <w:proofErr w:type="gramStart"/>
      <w:r w:rsidRPr="001F2D26">
        <w:rPr>
          <w:rFonts w:ascii="Times New Roman" w:eastAsia="Times New Roman" w:hAnsi="Times New Roman" w:cs="Times New Roman"/>
          <w:kern w:val="0"/>
          <w14:ligatures w14:val="none"/>
        </w:rPr>
        <w:t>would</w:t>
      </w:r>
      <w:proofErr w:type="gramEnd"/>
      <w:r w:rsidRPr="001F2D26">
        <w:rPr>
          <w:rFonts w:ascii="Times New Roman" w:eastAsia="Times New Roman" w:hAnsi="Times New Roman" w:cs="Times New Roman"/>
          <w:kern w:val="0"/>
          <w14:ligatures w14:val="none"/>
        </w:rPr>
        <w:t xml:space="preserve"> depend heavily on how much is retained for reinvestment. Given the firm’s likely reliance on retained earnings and limited dividend history, DDM may understate intrinsic value.</w:t>
      </w:r>
    </w:p>
    <w:p w14:paraId="1DD5CDE5" w14:textId="77777777" w:rsidR="001F2D26" w:rsidRPr="001F2D26" w:rsidRDefault="001F2D26" w:rsidP="001F2D2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F2D26">
        <w:rPr>
          <w:rFonts w:ascii="Times New Roman" w:eastAsia="Times New Roman" w:hAnsi="Times New Roman" w:cs="Times New Roman"/>
          <w:b/>
          <w:bCs/>
          <w:kern w:val="0"/>
          <w14:ligatures w14:val="none"/>
        </w:rPr>
        <w:t>Valuation Summary</w:t>
      </w:r>
      <w:r w:rsidRPr="001F2D26">
        <w:rPr>
          <w:rFonts w:ascii="Times New Roman" w:eastAsia="Times New Roman" w:hAnsi="Times New Roman" w:cs="Times New Roman"/>
          <w:kern w:val="0"/>
          <w14:ligatures w14:val="none"/>
        </w:rPr>
        <w:t xml:space="preserve">: With a WACC of 16.00% and a high cost of equity, the firm must demonstrate strong profitability and consistent free cash flow generation to be </w:t>
      </w:r>
      <w:proofErr w:type="gramStart"/>
      <w:r w:rsidRPr="001F2D26">
        <w:rPr>
          <w:rFonts w:ascii="Times New Roman" w:eastAsia="Times New Roman" w:hAnsi="Times New Roman" w:cs="Times New Roman"/>
          <w:kern w:val="0"/>
          <w14:ligatures w14:val="none"/>
        </w:rPr>
        <w:t>fairly valued</w:t>
      </w:r>
      <w:proofErr w:type="gramEnd"/>
      <w:r w:rsidRPr="001F2D26">
        <w:rPr>
          <w:rFonts w:ascii="Times New Roman" w:eastAsia="Times New Roman" w:hAnsi="Times New Roman" w:cs="Times New Roman"/>
          <w:kern w:val="0"/>
          <w14:ligatures w14:val="none"/>
        </w:rPr>
        <w:t xml:space="preserve">. If growth accelerates or returns on equity rise, intrinsic value </w:t>
      </w:r>
      <w:proofErr w:type="gramStart"/>
      <w:r w:rsidRPr="001F2D26">
        <w:rPr>
          <w:rFonts w:ascii="Times New Roman" w:eastAsia="Times New Roman" w:hAnsi="Times New Roman" w:cs="Times New Roman"/>
          <w:kern w:val="0"/>
          <w14:ligatures w14:val="none"/>
        </w:rPr>
        <w:t>would</w:t>
      </w:r>
      <w:proofErr w:type="gramEnd"/>
      <w:r w:rsidRPr="001F2D26">
        <w:rPr>
          <w:rFonts w:ascii="Times New Roman" w:eastAsia="Times New Roman" w:hAnsi="Times New Roman" w:cs="Times New Roman"/>
          <w:kern w:val="0"/>
          <w14:ligatures w14:val="none"/>
        </w:rPr>
        <w:t xml:space="preserve"> increase. Conversely, if cash flows weaken or risks rise (e.g., due to macroeconomic factors or competition), the stock may appear overvalued.</w:t>
      </w:r>
    </w:p>
    <w:p w14:paraId="2EB43F7D" w14:textId="77777777" w:rsidR="001F2D26" w:rsidRPr="001F2D26" w:rsidRDefault="001F2D26" w:rsidP="001F2D26">
      <w:pPr>
        <w:spacing w:before="100" w:beforeAutospacing="1" w:after="100" w:afterAutospacing="1" w:line="240" w:lineRule="auto"/>
        <w:outlineLvl w:val="1"/>
        <w:rPr>
          <w:rFonts w:ascii="Times New Roman" w:eastAsia="Times New Roman" w:hAnsi="Times New Roman" w:cs="Times New Roman"/>
          <w:kern w:val="0"/>
          <w14:ligatures w14:val="none"/>
        </w:rPr>
      </w:pPr>
      <w:r w:rsidRPr="001F2D26">
        <w:rPr>
          <w:rFonts w:ascii="Times New Roman" w:eastAsia="Times New Roman" w:hAnsi="Times New Roman" w:cs="Times New Roman"/>
          <w:b/>
          <w:bCs/>
          <w:kern w:val="0"/>
          <w14:ligatures w14:val="none"/>
        </w:rPr>
        <w:t>In summary, the company’s intrinsic value appears to be generally aligned with its current market value.</w:t>
      </w:r>
      <w:r w:rsidRPr="001F2D26">
        <w:rPr>
          <w:rFonts w:ascii="Times New Roman" w:eastAsia="Times New Roman" w:hAnsi="Times New Roman" w:cs="Times New Roman"/>
          <w:kern w:val="0"/>
          <w14:ligatures w14:val="none"/>
        </w:rPr>
        <w:t xml:space="preserve"> The valuation does not indicate that the stock is significantly undervalued or overvalued. Instead, it reflects a high-risk, equity-financed profile as captured by the elevated WACC of </w:t>
      </w:r>
      <w:r w:rsidRPr="001F2D26">
        <w:rPr>
          <w:rFonts w:ascii="Times New Roman" w:eastAsia="Times New Roman" w:hAnsi="Times New Roman" w:cs="Times New Roman"/>
          <w:b/>
          <w:bCs/>
          <w:kern w:val="0"/>
          <w14:ligatures w14:val="none"/>
        </w:rPr>
        <w:t>16.00%</w:t>
      </w:r>
      <w:r w:rsidRPr="001F2D26">
        <w:rPr>
          <w:rFonts w:ascii="Times New Roman" w:eastAsia="Times New Roman" w:hAnsi="Times New Roman" w:cs="Times New Roman"/>
          <w:kern w:val="0"/>
          <w14:ligatures w14:val="none"/>
        </w:rPr>
        <w:t>. Investors seem to be pricing the stock with caution, likely due to the high required return and possibly moderate growth outlook.</w:t>
      </w:r>
    </w:p>
    <w:p w14:paraId="53F46751" w14:textId="77777777" w:rsidR="001F2D26" w:rsidRPr="001F2D26" w:rsidRDefault="001F2D26" w:rsidP="001F2D26">
      <w:pPr>
        <w:spacing w:before="100" w:beforeAutospacing="1" w:after="100" w:afterAutospacing="1" w:line="240" w:lineRule="auto"/>
        <w:outlineLvl w:val="1"/>
        <w:rPr>
          <w:rFonts w:ascii="Times New Roman" w:eastAsia="Times New Roman" w:hAnsi="Times New Roman" w:cs="Times New Roman"/>
          <w:kern w:val="0"/>
          <w14:ligatures w14:val="none"/>
        </w:rPr>
      </w:pPr>
      <w:r w:rsidRPr="001F2D26">
        <w:rPr>
          <w:rFonts w:ascii="Times New Roman" w:eastAsia="Times New Roman" w:hAnsi="Times New Roman" w:cs="Times New Roman"/>
          <w:kern w:val="0"/>
          <w14:ligatures w14:val="none"/>
        </w:rPr>
        <w:t xml:space="preserve">If the company </w:t>
      </w:r>
      <w:proofErr w:type="gramStart"/>
      <w:r w:rsidRPr="001F2D26">
        <w:rPr>
          <w:rFonts w:ascii="Times New Roman" w:eastAsia="Times New Roman" w:hAnsi="Times New Roman" w:cs="Times New Roman"/>
          <w:kern w:val="0"/>
          <w14:ligatures w14:val="none"/>
        </w:rPr>
        <w:t>is able to</w:t>
      </w:r>
      <w:proofErr w:type="gramEnd"/>
      <w:r w:rsidRPr="001F2D26">
        <w:rPr>
          <w:rFonts w:ascii="Times New Roman" w:eastAsia="Times New Roman" w:hAnsi="Times New Roman" w:cs="Times New Roman"/>
          <w:kern w:val="0"/>
          <w14:ligatures w14:val="none"/>
        </w:rPr>
        <w:t xml:space="preserve"> outperform its current growth expectations, improve operating margins, or generate stronger returns on equity, there could be </w:t>
      </w:r>
      <w:r w:rsidRPr="001F2D26">
        <w:rPr>
          <w:rFonts w:ascii="Times New Roman" w:eastAsia="Times New Roman" w:hAnsi="Times New Roman" w:cs="Times New Roman"/>
          <w:b/>
          <w:bCs/>
          <w:kern w:val="0"/>
          <w14:ligatures w14:val="none"/>
        </w:rPr>
        <w:t>upside potential</w:t>
      </w:r>
      <w:r w:rsidRPr="001F2D26">
        <w:rPr>
          <w:rFonts w:ascii="Times New Roman" w:eastAsia="Times New Roman" w:hAnsi="Times New Roman" w:cs="Times New Roman"/>
          <w:kern w:val="0"/>
          <w14:ligatures w14:val="none"/>
        </w:rPr>
        <w:t xml:space="preserve"> to its intrinsic value. However, if earnings growth stalls or market risks increase, the stock may be at or slightly above its fair value.</w:t>
      </w:r>
    </w:p>
    <w:p w14:paraId="622C5E26" w14:textId="77777777" w:rsidR="001F2D26" w:rsidRPr="001F2D26" w:rsidRDefault="001F2D26" w:rsidP="001F2D26">
      <w:pPr>
        <w:spacing w:before="100" w:beforeAutospacing="1" w:after="100" w:afterAutospacing="1" w:line="240" w:lineRule="auto"/>
        <w:outlineLvl w:val="1"/>
        <w:rPr>
          <w:rFonts w:ascii="Times New Roman" w:eastAsia="Times New Roman" w:hAnsi="Times New Roman" w:cs="Times New Roman"/>
          <w:kern w:val="0"/>
          <w14:ligatures w14:val="none"/>
        </w:rPr>
      </w:pPr>
      <w:r w:rsidRPr="001F2D26">
        <w:rPr>
          <w:rFonts w:ascii="Times New Roman" w:eastAsia="Times New Roman" w:hAnsi="Times New Roman" w:cs="Times New Roman"/>
          <w:kern w:val="0"/>
          <w14:ligatures w14:val="none"/>
        </w:rPr>
        <w:t>This fundamental analysis will be further supported by technical indicators in the next section to form a comprehensive investment view.</w:t>
      </w:r>
    </w:p>
    <w:p w14:paraId="63703CBD" w14:textId="77777777" w:rsidR="003B2988" w:rsidRPr="003B2988" w:rsidRDefault="003B2988" w:rsidP="00E802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988">
        <w:rPr>
          <w:rFonts w:ascii="Times New Roman" w:eastAsia="Times New Roman" w:hAnsi="Times New Roman" w:cs="Times New Roman"/>
          <w:b/>
          <w:bCs/>
          <w:kern w:val="0"/>
          <w:sz w:val="36"/>
          <w:szCs w:val="36"/>
          <w14:ligatures w14:val="none"/>
        </w:rPr>
        <w:t>Technical Analysis</w:t>
      </w:r>
    </w:p>
    <w:p w14:paraId="63D70875"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In addition to fundamental strength, we analyzed Goldman Sachs’s stock price patterns and forecasts using technical analysis tools. This helps assess market sentiment and short-term price trajectory.</w:t>
      </w:r>
    </w:p>
    <w:p w14:paraId="4B6C5CA0" w14:textId="77777777" w:rsidR="003B2988" w:rsidRPr="003B2988" w:rsidRDefault="003B2988" w:rsidP="00E802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2988">
        <w:rPr>
          <w:rFonts w:ascii="Times New Roman" w:eastAsia="Times New Roman" w:hAnsi="Times New Roman" w:cs="Times New Roman"/>
          <w:b/>
          <w:bCs/>
          <w:kern w:val="0"/>
          <w:sz w:val="27"/>
          <w:szCs w:val="27"/>
          <w14:ligatures w14:val="none"/>
        </w:rPr>
        <w:t>Moving Average Crossover Strategy (SMA/EMA)</w:t>
      </w:r>
    </w:p>
    <w:p w14:paraId="172A4417"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We examined Goldman Sachs’s stock using </w:t>
      </w:r>
      <w:r w:rsidRPr="003B2988">
        <w:rPr>
          <w:rFonts w:ascii="Times New Roman" w:eastAsia="Times New Roman" w:hAnsi="Times New Roman" w:cs="Times New Roman"/>
          <w:b/>
          <w:bCs/>
          <w:kern w:val="0"/>
          <w14:ligatures w14:val="none"/>
        </w:rPr>
        <w:t>moving averages</w:t>
      </w:r>
      <w:r w:rsidRPr="003B2988">
        <w:rPr>
          <w:rFonts w:ascii="Times New Roman" w:eastAsia="Times New Roman" w:hAnsi="Times New Roman" w:cs="Times New Roman"/>
          <w:kern w:val="0"/>
          <w14:ligatures w14:val="none"/>
        </w:rPr>
        <w:t xml:space="preserve"> – specifically a 20-day short-term moving average (SMA) and a 50-day long-term moving average (and similarly considered exponential moving averages, EMA). The </w:t>
      </w:r>
      <w:r w:rsidRPr="003B2988">
        <w:rPr>
          <w:rFonts w:ascii="Times New Roman" w:eastAsia="Times New Roman" w:hAnsi="Times New Roman" w:cs="Times New Roman"/>
          <w:b/>
          <w:bCs/>
          <w:kern w:val="0"/>
          <w14:ligatures w14:val="none"/>
        </w:rPr>
        <w:t>crossover strategy</w:t>
      </w:r>
      <w:r w:rsidRPr="003B2988">
        <w:rPr>
          <w:rFonts w:ascii="Times New Roman" w:eastAsia="Times New Roman" w:hAnsi="Times New Roman" w:cs="Times New Roman"/>
          <w:kern w:val="0"/>
          <w14:ligatures w14:val="none"/>
        </w:rPr>
        <w:t xml:space="preserve"> generates trading signals as follows:</w:t>
      </w:r>
    </w:p>
    <w:p w14:paraId="4B82D14A" w14:textId="77777777" w:rsidR="003B2988" w:rsidRPr="003B2988" w:rsidRDefault="003B2988" w:rsidP="003B298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Buy Signal (Golden Cross):</w:t>
      </w:r>
      <w:r w:rsidRPr="003B2988">
        <w:rPr>
          <w:rFonts w:ascii="Times New Roman" w:eastAsia="Times New Roman" w:hAnsi="Times New Roman" w:cs="Times New Roman"/>
          <w:kern w:val="0"/>
          <w14:ligatures w14:val="none"/>
        </w:rPr>
        <w:t xml:space="preserve"> When the 20-day SMA crosses </w:t>
      </w:r>
      <w:r w:rsidRPr="003B2988">
        <w:rPr>
          <w:rFonts w:ascii="Times New Roman" w:eastAsia="Times New Roman" w:hAnsi="Times New Roman" w:cs="Times New Roman"/>
          <w:b/>
          <w:bCs/>
          <w:kern w:val="0"/>
          <w14:ligatures w14:val="none"/>
        </w:rPr>
        <w:t>above</w:t>
      </w:r>
      <w:r w:rsidRPr="003B2988">
        <w:rPr>
          <w:rFonts w:ascii="Times New Roman" w:eastAsia="Times New Roman" w:hAnsi="Times New Roman" w:cs="Times New Roman"/>
          <w:kern w:val="0"/>
          <w14:ligatures w14:val="none"/>
        </w:rPr>
        <w:t xml:space="preserve"> the 50-day SMA, it indicates positive momentum – the recent prices are rising faster – and is interpreted as a bullish signal (</w:t>
      </w:r>
      <w:r w:rsidRPr="003B2988">
        <w:rPr>
          <w:rFonts w:ascii="Apple Color Emoji" w:eastAsia="Times New Roman" w:hAnsi="Apple Color Emoji" w:cs="Apple Color Emoji"/>
          <w:kern w:val="0"/>
          <w14:ligatures w14:val="none"/>
        </w:rPr>
        <w:t>🔼</w:t>
      </w:r>
      <w:r w:rsidRPr="003B2988">
        <w:rPr>
          <w:rFonts w:ascii="Times New Roman" w:eastAsia="Times New Roman" w:hAnsi="Times New Roman" w:cs="Times New Roman"/>
          <w:kern w:val="0"/>
          <w14:ligatures w14:val="none"/>
        </w:rPr>
        <w:t>). Traders often view this “golden cross” as a sign to buy, expecting an uptrend to continue.</w:t>
      </w:r>
    </w:p>
    <w:p w14:paraId="74A3E0CA" w14:textId="77777777" w:rsidR="003B2988" w:rsidRPr="003B2988" w:rsidRDefault="003B2988" w:rsidP="003B298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Sell Signal (Death Cross):</w:t>
      </w:r>
      <w:r w:rsidRPr="003B2988">
        <w:rPr>
          <w:rFonts w:ascii="Times New Roman" w:eastAsia="Times New Roman" w:hAnsi="Times New Roman" w:cs="Times New Roman"/>
          <w:kern w:val="0"/>
          <w14:ligatures w14:val="none"/>
        </w:rPr>
        <w:t xml:space="preserve"> Conversely, when the 20-day SMA crosses </w:t>
      </w:r>
      <w:r w:rsidRPr="003B2988">
        <w:rPr>
          <w:rFonts w:ascii="Times New Roman" w:eastAsia="Times New Roman" w:hAnsi="Times New Roman" w:cs="Times New Roman"/>
          <w:b/>
          <w:bCs/>
          <w:kern w:val="0"/>
          <w14:ligatures w14:val="none"/>
        </w:rPr>
        <w:t>below</w:t>
      </w:r>
      <w:r w:rsidRPr="003B2988">
        <w:rPr>
          <w:rFonts w:ascii="Times New Roman" w:eastAsia="Times New Roman" w:hAnsi="Times New Roman" w:cs="Times New Roman"/>
          <w:kern w:val="0"/>
          <w14:ligatures w14:val="none"/>
        </w:rPr>
        <w:t xml:space="preserve"> the 50-day SMA, it’s a bearish signal (</w:t>
      </w:r>
      <w:r w:rsidRPr="003B2988">
        <w:rPr>
          <w:rFonts w:ascii="Apple Color Emoji" w:eastAsia="Times New Roman" w:hAnsi="Apple Color Emoji" w:cs="Apple Color Emoji"/>
          <w:kern w:val="0"/>
          <w14:ligatures w14:val="none"/>
        </w:rPr>
        <w:t>🔻</w:t>
      </w:r>
      <w:r w:rsidRPr="003B2988">
        <w:rPr>
          <w:rFonts w:ascii="Times New Roman" w:eastAsia="Times New Roman" w:hAnsi="Times New Roman" w:cs="Times New Roman"/>
          <w:kern w:val="0"/>
          <w14:ligatures w14:val="none"/>
        </w:rPr>
        <w:t>). This “death cross” suggests momentum is turning downward, and it may be a time to sell or be cautious, expecting further declines.</w:t>
      </w:r>
    </w:p>
    <w:p w14:paraId="4DF3AE93"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lastRenderedPageBreak/>
        <w:t>Findings:</w:t>
      </w:r>
      <w:r w:rsidRPr="003B2988">
        <w:rPr>
          <w:rFonts w:ascii="Times New Roman" w:eastAsia="Times New Roman" w:hAnsi="Times New Roman" w:cs="Times New Roman"/>
          <w:kern w:val="0"/>
          <w14:ligatures w14:val="none"/>
        </w:rPr>
        <w:t xml:space="preserve"> Throughout 2024, Goldman Sachs’s stock experienced periods where these crossover signals appeared:</w:t>
      </w:r>
    </w:p>
    <w:p w14:paraId="187D2DB9" w14:textId="77777777" w:rsidR="003B2988" w:rsidRPr="003B2988" w:rsidRDefault="003B2988" w:rsidP="003B298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Early in 2024, as the stock started climbing, the 20-day moving average moved above the 50-day, triggering buy signals. These correctly anticipated subsequent price increases, confirming the strategy’s usefulness in this case. The </w:t>
      </w:r>
      <w:r w:rsidRPr="003B2988">
        <w:rPr>
          <w:rFonts w:ascii="Times New Roman" w:eastAsia="Times New Roman" w:hAnsi="Times New Roman" w:cs="Times New Roman"/>
          <w:b/>
          <w:bCs/>
          <w:kern w:val="0"/>
          <w14:ligatures w14:val="none"/>
        </w:rPr>
        <w:t>bullish crossovers in 2024 aligned with significant upward moves</w:t>
      </w:r>
      <w:r w:rsidRPr="003B2988">
        <w:rPr>
          <w:rFonts w:ascii="Times New Roman" w:eastAsia="Times New Roman" w:hAnsi="Times New Roman" w:cs="Times New Roman"/>
          <w:kern w:val="0"/>
          <w14:ligatures w14:val="none"/>
        </w:rPr>
        <w:t xml:space="preserve"> in Goldman’s stock price. Investors who followed these signals would have captured some of the rally.</w:t>
      </w:r>
    </w:p>
    <w:p w14:paraId="154FD067" w14:textId="77777777" w:rsidR="003B2988" w:rsidRPr="003B2988" w:rsidRDefault="003B2988" w:rsidP="003B298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Later in the year, when volatility increased, there were instances of the short-term average dipping below the long-term average, issuing cautionary sell signals. For example, during market pullbacks the crossovers indicated potential trend weakness ahead of price declines.</w:t>
      </w:r>
    </w:p>
    <w:p w14:paraId="31FAA9C1"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Overall, the SMA/EMA crossover strategy provided </w:t>
      </w:r>
      <w:r w:rsidRPr="003B2988">
        <w:rPr>
          <w:rFonts w:ascii="Times New Roman" w:eastAsia="Times New Roman" w:hAnsi="Times New Roman" w:cs="Times New Roman"/>
          <w:b/>
          <w:bCs/>
          <w:kern w:val="0"/>
          <w14:ligatures w14:val="none"/>
        </w:rPr>
        <w:t>early indications of trend changes</w:t>
      </w:r>
      <w:r w:rsidRPr="003B2988">
        <w:rPr>
          <w:rFonts w:ascii="Times New Roman" w:eastAsia="Times New Roman" w:hAnsi="Times New Roman" w:cs="Times New Roman"/>
          <w:kern w:val="0"/>
          <w14:ligatures w14:val="none"/>
        </w:rPr>
        <w:t>. In Goldman’s case, the method proved to be a strong indicator, especially for uptrends. However, like all technical signals, it’s not foolproof – false signals can occur in choppy markets. Combining the crossover insight with other analysis (volume, macro news) can improve reliability. As of the latest data, if the short-term average remains above the long-term, the technical trend would be considered still upward or stable.</w:t>
      </w:r>
    </w:p>
    <w:p w14:paraId="784F1CA3" w14:textId="77777777" w:rsidR="003B2988" w:rsidRPr="003B2988" w:rsidRDefault="003B2988" w:rsidP="00E802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2988">
        <w:rPr>
          <w:rFonts w:ascii="Times New Roman" w:eastAsia="Times New Roman" w:hAnsi="Times New Roman" w:cs="Times New Roman"/>
          <w:b/>
          <w:bCs/>
          <w:kern w:val="0"/>
          <w:sz w:val="27"/>
          <w:szCs w:val="27"/>
          <w14:ligatures w14:val="none"/>
        </w:rPr>
        <w:t>Monte Carlo Simulation (30-Day Price Forecast)</w:t>
      </w:r>
    </w:p>
    <w:p w14:paraId="0E0A9D04"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We ran a Monte Carlo simulation to model Goldman Sachs’s stock price over the next 30 days. Monte Carlo simulations use random sampling based on historical volatility and returns to generate a wide range of possible future price paths, helping to assess risk and uncertainty.</w:t>
      </w:r>
    </w:p>
    <w:p w14:paraId="48366969"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Simulation Insights:</w:t>
      </w:r>
    </w:p>
    <w:p w14:paraId="6A76BB81" w14:textId="77777777" w:rsidR="003B2988" w:rsidRPr="003B2988" w:rsidRDefault="003B2988" w:rsidP="003B298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We simulated a large number of potential 30-day price trajectories for GS stock. The resulting simulation outcomes were plotted to visualize the range of possible prices.</w:t>
      </w:r>
    </w:p>
    <w:p w14:paraId="68044650" w14:textId="77777777" w:rsidR="003B2988" w:rsidRPr="003B2988" w:rsidRDefault="003B2988" w:rsidP="003B298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Most Paths Cluster Between $520 and $590:</w:t>
      </w:r>
      <w:r w:rsidRPr="003B2988">
        <w:rPr>
          <w:rFonts w:ascii="Times New Roman" w:eastAsia="Times New Roman" w:hAnsi="Times New Roman" w:cs="Times New Roman"/>
          <w:kern w:val="0"/>
          <w14:ligatures w14:val="none"/>
        </w:rPr>
        <w:t xml:space="preserve"> The bulk of the simulated price paths fell in this range over the next month. This suggests that, given recent volatility and trends, the stock is likely to trade somewhere in the low-to-mid $500s to high $500s in 30 days. In other words, the model’s </w:t>
      </w:r>
      <w:r w:rsidRPr="003B2988">
        <w:rPr>
          <w:rFonts w:ascii="Times New Roman" w:eastAsia="Times New Roman" w:hAnsi="Times New Roman" w:cs="Times New Roman"/>
          <w:b/>
          <w:bCs/>
          <w:kern w:val="0"/>
          <w14:ligatures w14:val="none"/>
        </w:rPr>
        <w:t>expected outcome</w:t>
      </w:r>
      <w:r w:rsidRPr="003B2988">
        <w:rPr>
          <w:rFonts w:ascii="Times New Roman" w:eastAsia="Times New Roman" w:hAnsi="Times New Roman" w:cs="Times New Roman"/>
          <w:kern w:val="0"/>
          <w14:ligatures w14:val="none"/>
        </w:rPr>
        <w:t xml:space="preserve"> is that Goldman’s price stays around current levels or rises modestly.</w:t>
      </w:r>
    </w:p>
    <w:p w14:paraId="070A4DF9" w14:textId="77777777" w:rsidR="003B2988" w:rsidRPr="003B2988" w:rsidRDefault="003B2988" w:rsidP="003B298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Upside and Downside Extremes:</w:t>
      </w:r>
      <w:r w:rsidRPr="003B2988">
        <w:rPr>
          <w:rFonts w:ascii="Times New Roman" w:eastAsia="Times New Roman" w:hAnsi="Times New Roman" w:cs="Times New Roman"/>
          <w:kern w:val="0"/>
          <w14:ligatures w14:val="none"/>
        </w:rPr>
        <w:t xml:space="preserve"> A few simulated paths showed prices moving significantly higher, above $600, while some showed declines below $520 (even down into the $480s or $490s in extreme cases). These outlier scenarios represent less likely outcomes but are possible if there are big surprises (e.g., an unexpectedly strong earnings report could push the stock up, or a negative economic shock could push it down).</w:t>
      </w:r>
    </w:p>
    <w:p w14:paraId="315DF3F1" w14:textId="77777777" w:rsidR="003B2988" w:rsidRPr="003B2988" w:rsidRDefault="003B2988" w:rsidP="003B298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Risk Assessment:</w:t>
      </w:r>
      <w:r w:rsidRPr="003B2988">
        <w:rPr>
          <w:rFonts w:ascii="Times New Roman" w:eastAsia="Times New Roman" w:hAnsi="Times New Roman" w:cs="Times New Roman"/>
          <w:kern w:val="0"/>
          <w14:ligatures w14:val="none"/>
        </w:rPr>
        <w:t xml:space="preserve"> The spread of the simulation results indicates </w:t>
      </w:r>
      <w:r w:rsidRPr="003B2988">
        <w:rPr>
          <w:rFonts w:ascii="Times New Roman" w:eastAsia="Times New Roman" w:hAnsi="Times New Roman" w:cs="Times New Roman"/>
          <w:b/>
          <w:bCs/>
          <w:kern w:val="0"/>
          <w14:ligatures w14:val="none"/>
        </w:rPr>
        <w:t>moderate risk</w:t>
      </w:r>
      <w:r w:rsidRPr="003B2988">
        <w:rPr>
          <w:rFonts w:ascii="Times New Roman" w:eastAsia="Times New Roman" w:hAnsi="Times New Roman" w:cs="Times New Roman"/>
          <w:kern w:val="0"/>
          <w14:ligatures w14:val="none"/>
        </w:rPr>
        <w:t>. The stock doesn’t appear poised for wild swings beyond the $520–$590 range in the next month under normal conditions. However, the fact that a downside tail exists (some simulations dipping well below current prices) reminds investors that downside risk is present. The range also quantifies volatility: roughly a ±10% move is within Monte Carlo expectations for a month, aligning with Goldman’s beta and market volatility.</w:t>
      </w:r>
    </w:p>
    <w:p w14:paraId="7C643E03"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lastRenderedPageBreak/>
        <w:t>In summary, the Monte Carlo simulation projects that Goldman Sachs’s stock will likely remain relatively stable or gradually increase in the next 30 days, with most outcomes clustered around the mid $500s. There is a bullish tilt (more paths above the current price than below), but significant deviations are possible. This analysis helps investors understand the probability distribution of short-term returns – Goldman’s stock has a favorable outlook with manageable risk, barring unforeseen events.</w:t>
      </w:r>
    </w:p>
    <w:p w14:paraId="2CABF4A6" w14:textId="77777777" w:rsidR="003B2988" w:rsidRPr="003B2988" w:rsidRDefault="003B2988" w:rsidP="00E802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2988">
        <w:rPr>
          <w:rFonts w:ascii="Times New Roman" w:eastAsia="Times New Roman" w:hAnsi="Times New Roman" w:cs="Times New Roman"/>
          <w:b/>
          <w:bCs/>
          <w:kern w:val="0"/>
          <w:sz w:val="27"/>
          <w:szCs w:val="27"/>
          <w14:ligatures w14:val="none"/>
        </w:rPr>
        <w:t>FB Prophet 30-Day Forecast</w:t>
      </w:r>
    </w:p>
    <w:p w14:paraId="5BD54C02"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We utilized Facebook’s </w:t>
      </w:r>
      <w:r w:rsidRPr="003B2988">
        <w:rPr>
          <w:rFonts w:ascii="Times New Roman" w:eastAsia="Times New Roman" w:hAnsi="Times New Roman" w:cs="Times New Roman"/>
          <w:b/>
          <w:bCs/>
          <w:kern w:val="0"/>
          <w14:ligatures w14:val="none"/>
        </w:rPr>
        <w:t>Prophet</w:t>
      </w:r>
      <w:r w:rsidRPr="003B2988">
        <w:rPr>
          <w:rFonts w:ascii="Times New Roman" w:eastAsia="Times New Roman" w:hAnsi="Times New Roman" w:cs="Times New Roman"/>
          <w:kern w:val="0"/>
          <w14:ligatures w14:val="none"/>
        </w:rPr>
        <w:t xml:space="preserve"> model to forecast Goldman Sachs’s stock price for the upcoming 30 days. Prophet is a time-series forecasting tool that accounts for trend, seasonality, and holidays. It was fed Goldman’s historical price data and produced a forecast with confidence intervals.</w:t>
      </w:r>
    </w:p>
    <w:p w14:paraId="20D1E26A"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Prophet Forecast Highlights:</w:t>
      </w:r>
    </w:p>
    <w:p w14:paraId="2EE7AF63" w14:textId="77777777" w:rsidR="003B2988" w:rsidRPr="003B2988" w:rsidRDefault="003B2988" w:rsidP="003B298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Upward Trend Predicted:</w:t>
      </w:r>
      <w:r w:rsidRPr="003B2988">
        <w:rPr>
          <w:rFonts w:ascii="Times New Roman" w:eastAsia="Times New Roman" w:hAnsi="Times New Roman" w:cs="Times New Roman"/>
          <w:kern w:val="0"/>
          <w14:ligatures w14:val="none"/>
        </w:rPr>
        <w:t xml:space="preserve"> The Prophet model forecasted a generally steady </w:t>
      </w:r>
      <w:r w:rsidRPr="003B2988">
        <w:rPr>
          <w:rFonts w:ascii="Times New Roman" w:eastAsia="Times New Roman" w:hAnsi="Times New Roman" w:cs="Times New Roman"/>
          <w:b/>
          <w:bCs/>
          <w:kern w:val="0"/>
          <w14:ligatures w14:val="none"/>
        </w:rPr>
        <w:t>upward trend</w:t>
      </w:r>
      <w:r w:rsidRPr="003B2988">
        <w:rPr>
          <w:rFonts w:ascii="Times New Roman" w:eastAsia="Times New Roman" w:hAnsi="Times New Roman" w:cs="Times New Roman"/>
          <w:kern w:val="0"/>
          <w14:ligatures w14:val="none"/>
        </w:rPr>
        <w:t xml:space="preserve"> for the next month. The central forecast line showed prices gradually increasing, which implies positive momentum and that the stock is expected to gain value over the 30-day period. This aligns with the Monte Carlo result that the stock will likely drift upwards.</w:t>
      </w:r>
    </w:p>
    <w:p w14:paraId="09402942" w14:textId="77777777" w:rsidR="003B2988" w:rsidRPr="003B2988" w:rsidRDefault="003B2988" w:rsidP="003B298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Confidence Interval:</w:t>
      </w:r>
      <w:r w:rsidRPr="003B2988">
        <w:rPr>
          <w:rFonts w:ascii="Times New Roman" w:eastAsia="Times New Roman" w:hAnsi="Times New Roman" w:cs="Times New Roman"/>
          <w:kern w:val="0"/>
          <w14:ligatures w14:val="none"/>
        </w:rPr>
        <w:t xml:space="preserve"> Prophet provides a confidence band (uncertainty interval) around its forecast. In Goldman’s case, the band was not excessively wide, indicating reasonable confidence in the trend. While there is always uncertainty (the shaded region shows prices could end up somewhat lower or higher), the fact that the entire band still trends upward is a bullish sign. The model doesn’t foresee a sharp trend reversal in the immediate term.</w:t>
      </w:r>
    </w:p>
    <w:p w14:paraId="7D7B769B" w14:textId="77777777" w:rsidR="003B2988" w:rsidRPr="003B2988" w:rsidRDefault="003B2988" w:rsidP="003B298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Seasonal Patterns:</w:t>
      </w:r>
      <w:r w:rsidRPr="003B2988">
        <w:rPr>
          <w:rFonts w:ascii="Times New Roman" w:eastAsia="Times New Roman" w:hAnsi="Times New Roman" w:cs="Times New Roman"/>
          <w:kern w:val="0"/>
          <w14:ligatures w14:val="none"/>
        </w:rPr>
        <w:t xml:space="preserve"> The Prophet model also analyzed seasonal components in the data:</w:t>
      </w:r>
    </w:p>
    <w:p w14:paraId="048209E7" w14:textId="77777777" w:rsidR="003B2988" w:rsidRPr="003B2988" w:rsidRDefault="003B2988" w:rsidP="003B298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Weekly Effect:</w:t>
      </w:r>
      <w:r w:rsidRPr="003B2988">
        <w:rPr>
          <w:rFonts w:ascii="Times New Roman" w:eastAsia="Times New Roman" w:hAnsi="Times New Roman" w:cs="Times New Roman"/>
          <w:kern w:val="0"/>
          <w14:ligatures w14:val="none"/>
        </w:rPr>
        <w:t xml:space="preserve"> Interestingly, the model detected that Goldman’s stock tended to perform a bit better later in the week (with slightly higher values or returns toward the weekend) and was slightly weaker at the start of the week (Mondays and Tuesdays). This could be a quirk or reflect minor “Monday effect” sentiment seen in markets, though one should be cautious as stock trading doesn’t actually happen on weekends (the model might be capturing a pattern in Friday-to-Monday changes or just noise).</w:t>
      </w:r>
    </w:p>
    <w:p w14:paraId="0BC2A47C" w14:textId="77777777" w:rsidR="003B2988" w:rsidRPr="003B2988" w:rsidRDefault="003B2988" w:rsidP="003B298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Yearly Seasonality:</w:t>
      </w:r>
      <w:r w:rsidRPr="003B2988">
        <w:rPr>
          <w:rFonts w:ascii="Times New Roman" w:eastAsia="Times New Roman" w:hAnsi="Times New Roman" w:cs="Times New Roman"/>
          <w:kern w:val="0"/>
          <w14:ligatures w14:val="none"/>
        </w:rPr>
        <w:t xml:space="preserve"> Prophet found that historically, certain months like </w:t>
      </w:r>
      <w:r w:rsidRPr="003B2988">
        <w:rPr>
          <w:rFonts w:ascii="Times New Roman" w:eastAsia="Times New Roman" w:hAnsi="Times New Roman" w:cs="Times New Roman"/>
          <w:b/>
          <w:bCs/>
          <w:kern w:val="0"/>
          <w14:ligatures w14:val="none"/>
        </w:rPr>
        <w:t>March and November</w:t>
      </w:r>
      <w:r w:rsidRPr="003B2988">
        <w:rPr>
          <w:rFonts w:ascii="Times New Roman" w:eastAsia="Times New Roman" w:hAnsi="Times New Roman" w:cs="Times New Roman"/>
          <w:kern w:val="0"/>
          <w14:ligatures w14:val="none"/>
        </w:rPr>
        <w:t xml:space="preserve"> showed stronger movements for Goldman’s stock. This could be due to Goldman’s earnings announcements or broader market cycles (e.g., bank stocks sometimes rally in fall if anticipating year-end results, or in March if Q1 trends are positive). This seasonal insight suggests those months often had positive drivers for the stock.</w:t>
      </w:r>
    </w:p>
    <w:p w14:paraId="452CDA0D" w14:textId="77777777" w:rsidR="003B2988" w:rsidRPr="003B2988" w:rsidRDefault="003B2988" w:rsidP="003B298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Overall Trend:</w:t>
      </w:r>
      <w:r w:rsidRPr="003B2988">
        <w:rPr>
          <w:rFonts w:ascii="Times New Roman" w:eastAsia="Times New Roman" w:hAnsi="Times New Roman" w:cs="Times New Roman"/>
          <w:kern w:val="0"/>
          <w14:ligatures w14:val="none"/>
        </w:rPr>
        <w:t xml:space="preserve"> The dominant component was a strong upward trend in 2024, which the model extrapolated into the short-term future. Unless new data contradicts it, Prophet is essentially saying the trend is your friend.</w:t>
      </w:r>
    </w:p>
    <w:p w14:paraId="64B5F69E" w14:textId="77777777" w:rsid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lastRenderedPageBreak/>
        <w:t>Forecast Interpretation:</w:t>
      </w:r>
      <w:r w:rsidRPr="003B2988">
        <w:rPr>
          <w:rFonts w:ascii="Times New Roman" w:eastAsia="Times New Roman" w:hAnsi="Times New Roman" w:cs="Times New Roman"/>
          <w:kern w:val="0"/>
          <w14:ligatures w14:val="none"/>
        </w:rPr>
        <w:t xml:space="preserve"> The Prophet forecast supports a </w:t>
      </w:r>
      <w:r w:rsidRPr="003B2988">
        <w:rPr>
          <w:rFonts w:ascii="Times New Roman" w:eastAsia="Times New Roman" w:hAnsi="Times New Roman" w:cs="Times New Roman"/>
          <w:b/>
          <w:bCs/>
          <w:kern w:val="0"/>
          <w14:ligatures w14:val="none"/>
        </w:rPr>
        <w:t>bullish near-term outlook</w:t>
      </w:r>
      <w:r w:rsidRPr="003B2988">
        <w:rPr>
          <w:rFonts w:ascii="Times New Roman" w:eastAsia="Times New Roman" w:hAnsi="Times New Roman" w:cs="Times New Roman"/>
          <w:kern w:val="0"/>
          <w14:ligatures w14:val="none"/>
        </w:rPr>
        <w:t xml:space="preserve"> for Goldman Sachs. It provides a data-driven confidence that the stock’s momentum will continue. Investors, however, should use this as one input – actual outcomes can diverge if unexpected news occurs. But as of now, the technical forecasting via Prophet adds conviction to the fundamental perspective that Goldman Sachs is on stable footing heading into the next month.</w:t>
      </w:r>
    </w:p>
    <w:p w14:paraId="33C2F9B2" w14:textId="77777777" w:rsidR="00E80271" w:rsidRPr="003B2988" w:rsidRDefault="00E80271" w:rsidP="003B2988">
      <w:pPr>
        <w:spacing w:before="100" w:beforeAutospacing="1" w:after="100" w:afterAutospacing="1" w:line="240" w:lineRule="auto"/>
        <w:rPr>
          <w:rFonts w:ascii="Times New Roman" w:eastAsia="Times New Roman" w:hAnsi="Times New Roman" w:cs="Times New Roman"/>
          <w:kern w:val="0"/>
          <w14:ligatures w14:val="none"/>
        </w:rPr>
      </w:pPr>
    </w:p>
    <w:p w14:paraId="59F1E386" w14:textId="77777777" w:rsidR="003B2988" w:rsidRPr="00F82D55" w:rsidRDefault="003B2988" w:rsidP="00F82D5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988">
        <w:rPr>
          <w:rFonts w:ascii="Times New Roman" w:eastAsia="Times New Roman" w:hAnsi="Times New Roman" w:cs="Times New Roman"/>
          <w:b/>
          <w:bCs/>
          <w:kern w:val="0"/>
          <w:sz w:val="36"/>
          <w:szCs w:val="36"/>
          <w14:ligatures w14:val="none"/>
        </w:rPr>
        <w:t>Recommendations</w:t>
      </w:r>
    </w:p>
    <w:p w14:paraId="2FB27EEC"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Based on the comprehensive analysis above, our investment recommendation for Goldman Sachs (GS) is </w:t>
      </w:r>
      <w:r w:rsidRPr="003B2988">
        <w:rPr>
          <w:rFonts w:ascii="Times New Roman" w:eastAsia="Times New Roman" w:hAnsi="Times New Roman" w:cs="Times New Roman"/>
          <w:b/>
          <w:bCs/>
          <w:kern w:val="0"/>
          <w14:ligatures w14:val="none"/>
        </w:rPr>
        <w:t>BUY / LONG-TERM HOLD</w:t>
      </w:r>
      <w:r w:rsidRPr="003B2988">
        <w:rPr>
          <w:rFonts w:ascii="Times New Roman" w:eastAsia="Times New Roman" w:hAnsi="Times New Roman" w:cs="Times New Roman"/>
          <w:kern w:val="0"/>
          <w14:ligatures w14:val="none"/>
        </w:rPr>
        <w:t xml:space="preserve"> with a bullish outlook, albeit with moderate expectations.</w:t>
      </w:r>
    </w:p>
    <w:p w14:paraId="6DBBE525"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Rationale:</w:t>
      </w:r>
    </w:p>
    <w:p w14:paraId="5C52AC3C" w14:textId="77777777" w:rsidR="003B2988" w:rsidRPr="003B2988" w:rsidRDefault="003B2988" w:rsidP="003B298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Fundamental Strength:</w:t>
      </w:r>
      <w:r w:rsidRPr="003B2988">
        <w:rPr>
          <w:rFonts w:ascii="Times New Roman" w:eastAsia="Times New Roman" w:hAnsi="Times New Roman" w:cs="Times New Roman"/>
          <w:kern w:val="0"/>
          <w14:ligatures w14:val="none"/>
        </w:rPr>
        <w:t xml:space="preserve"> Goldman Sachs is fundamentally solid, with high profit margins and adequate liquidity. It’s a market leader in its domain and has demonstrated an ability to adapt and grow. The current valuation (P/E ~12) appears reasonable or slightly cheap given the company’s quality and industry standing. This suggests a margin of safety – the stock isn’t overvalued by earnings standards.</w:t>
      </w:r>
    </w:p>
    <w:p w14:paraId="6AA653EF" w14:textId="77777777" w:rsidR="003B2988" w:rsidRPr="003B2988" w:rsidRDefault="003B2988" w:rsidP="003B298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Growth Potential:</w:t>
      </w:r>
      <w:r w:rsidRPr="003B2988">
        <w:rPr>
          <w:rFonts w:ascii="Times New Roman" w:eastAsia="Times New Roman" w:hAnsi="Times New Roman" w:cs="Times New Roman"/>
          <w:kern w:val="0"/>
          <w14:ligatures w14:val="none"/>
        </w:rPr>
        <w:t xml:space="preserve"> While ROE (8%) is below the cost of equity, there is room for improvement. If the company’s strategic investments (which caused negative free cash flow in 2024) pay off, we could see higher earnings growth and ROE in coming years. The sustainable growth rate of ~5.5% implies decent long-term growth from internal funds. Additionally, any uptick in global economic activity or financial markets could boost Goldman’s revenues significantly (as seen historically during strong markets).</w:t>
      </w:r>
    </w:p>
    <w:p w14:paraId="09EEE55F" w14:textId="77777777" w:rsidR="003B2988" w:rsidRPr="003B2988" w:rsidRDefault="003B2988" w:rsidP="003B298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Dividend and Shareholder Returns:</w:t>
      </w:r>
      <w:r w:rsidRPr="003B2988">
        <w:rPr>
          <w:rFonts w:ascii="Times New Roman" w:eastAsia="Times New Roman" w:hAnsi="Times New Roman" w:cs="Times New Roman"/>
          <w:kern w:val="0"/>
          <w14:ligatures w14:val="none"/>
        </w:rPr>
        <w:t xml:space="preserve"> A dividend payout of ~31.5% and ongoing share buybacks mean investors are directly rewarded. The dividend yield combined with potential stock appreciation makes holding GS attractive. Goldman’s commitment to returning capital (subject to regulatory approvals) provides downside support for the stock.</w:t>
      </w:r>
    </w:p>
    <w:p w14:paraId="2CE2366B" w14:textId="77777777" w:rsidR="003B2988" w:rsidRPr="003B2988" w:rsidRDefault="003B2988" w:rsidP="003B298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Risk Factors Manageable:</w:t>
      </w:r>
      <w:r w:rsidRPr="003B2988">
        <w:rPr>
          <w:rFonts w:ascii="Times New Roman" w:eastAsia="Times New Roman" w:hAnsi="Times New Roman" w:cs="Times New Roman"/>
          <w:kern w:val="0"/>
          <w14:ligatures w14:val="none"/>
        </w:rPr>
        <w:t xml:space="preserve"> Goldman Sachs’s higher leverage (D/E 2.8) and beta (1.19) mean the stock can be volatile and would be hit in a broad market downturn or financial crisis. However, stress tests and capital buffers in large banks today are robust. The Monte Carlo analysis shows a contained risk range for the near term, and our analysis hasn’t flagged any acute solvency concerns. Investors should be aware of macroeconomic risks (interest rate changes, recession) that could affect Goldman, but these are part of normal market investing.</w:t>
      </w:r>
    </w:p>
    <w:p w14:paraId="7D4E7697"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Time Horizon:</w:t>
      </w:r>
      <w:r w:rsidRPr="003B2988">
        <w:rPr>
          <w:rFonts w:ascii="Times New Roman" w:eastAsia="Times New Roman" w:hAnsi="Times New Roman" w:cs="Times New Roman"/>
          <w:kern w:val="0"/>
          <w14:ligatures w14:val="none"/>
        </w:rPr>
        <w:t xml:space="preserve"> For long-term investors, Goldman Sachs is a </w:t>
      </w:r>
      <w:r w:rsidRPr="003B2988">
        <w:rPr>
          <w:rFonts w:ascii="Times New Roman" w:eastAsia="Times New Roman" w:hAnsi="Times New Roman" w:cs="Times New Roman"/>
          <w:b/>
          <w:bCs/>
          <w:kern w:val="0"/>
          <w14:ligatures w14:val="none"/>
        </w:rPr>
        <w:t>buy/hold</w:t>
      </w:r>
      <w:r w:rsidRPr="003B2988">
        <w:rPr>
          <w:rFonts w:ascii="Times New Roman" w:eastAsia="Times New Roman" w:hAnsi="Times New Roman" w:cs="Times New Roman"/>
          <w:kern w:val="0"/>
          <w14:ligatures w14:val="none"/>
        </w:rPr>
        <w:t>. The stock should be able to deliver returns in line with or above the market over the long run, especially if bought at a reasonable valuation like the current one. Short-term traders also have a positive momentum signal from the technical side (SMA crossover is bullish, and forecasts indicate gains), so a swing trade on the long side over the next few weeks could also be justified.</w:t>
      </w:r>
    </w:p>
    <w:p w14:paraId="4628893F" w14:textId="77777777" w:rsid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lastRenderedPageBreak/>
        <w:t>Conclusion of Recommendation:</w:t>
      </w:r>
      <w:r w:rsidRPr="003B2988">
        <w:rPr>
          <w:rFonts w:ascii="Times New Roman" w:eastAsia="Times New Roman" w:hAnsi="Times New Roman" w:cs="Times New Roman"/>
          <w:kern w:val="0"/>
          <w14:ligatures w14:val="none"/>
        </w:rPr>
        <w:t xml:space="preserve"> Accumulate shares of Goldman Sachs at current price levels. It’s a high-quality franchise that is currently fairly valued and poised to benefit from any tailwinds in financial markets. One might expect moderate stock price appreciation and regular dividends. We do not see glaring red flags; hence, it’s a </w:t>
      </w:r>
      <w:r w:rsidRPr="003B2988">
        <w:rPr>
          <w:rFonts w:ascii="Times New Roman" w:eastAsia="Times New Roman" w:hAnsi="Times New Roman" w:cs="Times New Roman"/>
          <w:b/>
          <w:bCs/>
          <w:kern w:val="0"/>
          <w14:ligatures w14:val="none"/>
        </w:rPr>
        <w:t>Hold/Buy</w:t>
      </w:r>
      <w:r w:rsidRPr="003B2988">
        <w:rPr>
          <w:rFonts w:ascii="Times New Roman" w:eastAsia="Times New Roman" w:hAnsi="Times New Roman" w:cs="Times New Roman"/>
          <w:kern w:val="0"/>
          <w14:ligatures w14:val="none"/>
        </w:rPr>
        <w:t>. Only if an investor has a very low risk tolerance or expects a sharp downturn in the financial sector would holding off be advised. Otherwise, Goldman Sachs appears to be a sound investment choice.</w:t>
      </w:r>
    </w:p>
    <w:p w14:paraId="1C26229C" w14:textId="77777777" w:rsidR="00E720BF" w:rsidRPr="003B2988" w:rsidRDefault="00E720BF" w:rsidP="003B2988">
      <w:pPr>
        <w:spacing w:before="100" w:beforeAutospacing="1" w:after="100" w:afterAutospacing="1" w:line="240" w:lineRule="auto"/>
        <w:rPr>
          <w:rFonts w:ascii="Times New Roman" w:eastAsia="Times New Roman" w:hAnsi="Times New Roman" w:cs="Times New Roman"/>
          <w:kern w:val="0"/>
          <w14:ligatures w14:val="none"/>
        </w:rPr>
      </w:pPr>
    </w:p>
    <w:p w14:paraId="7E0A83A6" w14:textId="77777777" w:rsidR="003B2988" w:rsidRPr="003B2988" w:rsidRDefault="003B2988" w:rsidP="00E802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988">
        <w:rPr>
          <w:rFonts w:ascii="Times New Roman" w:eastAsia="Times New Roman" w:hAnsi="Times New Roman" w:cs="Times New Roman"/>
          <w:b/>
          <w:bCs/>
          <w:kern w:val="0"/>
          <w:sz w:val="36"/>
          <w:szCs w:val="36"/>
          <w14:ligatures w14:val="none"/>
        </w:rPr>
        <w:t>Conclusion</w:t>
      </w:r>
    </w:p>
    <w:p w14:paraId="7469745B"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In conclusion, </w:t>
      </w:r>
      <w:r w:rsidRPr="003B2988">
        <w:rPr>
          <w:rFonts w:ascii="Times New Roman" w:eastAsia="Times New Roman" w:hAnsi="Times New Roman" w:cs="Times New Roman"/>
          <w:b/>
          <w:bCs/>
          <w:kern w:val="0"/>
          <w14:ligatures w14:val="none"/>
        </w:rPr>
        <w:t>Goldman Sachs is in strong financial health with a positive outlook</w:t>
      </w:r>
      <w:r w:rsidRPr="003B2988">
        <w:rPr>
          <w:rFonts w:ascii="Times New Roman" w:eastAsia="Times New Roman" w:hAnsi="Times New Roman" w:cs="Times New Roman"/>
          <w:kern w:val="0"/>
          <w14:ligatures w14:val="none"/>
        </w:rPr>
        <w:t>, although its returns are not without some caveats. Our analysis revealed the following key points:</w:t>
      </w:r>
    </w:p>
    <w:p w14:paraId="0CA1CD69" w14:textId="77777777" w:rsidR="003B2988" w:rsidRPr="003B2988" w:rsidRDefault="003B2988" w:rsidP="003B298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Solid Profitability:</w:t>
      </w:r>
      <w:r w:rsidRPr="003B2988">
        <w:rPr>
          <w:rFonts w:ascii="Times New Roman" w:eastAsia="Times New Roman" w:hAnsi="Times New Roman" w:cs="Times New Roman"/>
          <w:kern w:val="0"/>
          <w14:ligatures w14:val="none"/>
        </w:rPr>
        <w:t xml:space="preserve"> Goldman Sachs enjoys high margins (Gross ~97%, Net ~35%) indicating efficient operations and strong pricing power in its services. It is generating healthy profits, though its ROE is moderate. The company is profitable across cycles, and its diversified business lines provide multiple income streams.</w:t>
      </w:r>
    </w:p>
    <w:p w14:paraId="3651DC7C" w14:textId="77777777" w:rsidR="003B2988" w:rsidRPr="003B2988" w:rsidRDefault="003B2988" w:rsidP="003B298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Adequate Liquidity and Manageable Leverage:</w:t>
      </w:r>
      <w:r w:rsidRPr="003B2988">
        <w:rPr>
          <w:rFonts w:ascii="Times New Roman" w:eastAsia="Times New Roman" w:hAnsi="Times New Roman" w:cs="Times New Roman"/>
          <w:kern w:val="0"/>
          <w14:ligatures w14:val="none"/>
        </w:rPr>
        <w:t xml:space="preserve"> Liquidity ratios around 1.05 show Goldman can meet short-term obligations, and while it carries a lot of debt in absolute terms, this is normal for its business model. The debt-to-equity ratio is elevated, but the company’s robust cash flows and asset base help manage that leverage. Solvency metrics are low, yet we interpret that as a function of its business model rather than distress.</w:t>
      </w:r>
    </w:p>
    <w:p w14:paraId="7D844262" w14:textId="14D98685" w:rsidR="003B2988" w:rsidRPr="003B2988" w:rsidRDefault="005F43D1" w:rsidP="003B298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F43D1">
        <w:rPr>
          <w:rFonts w:ascii="Times New Roman" w:eastAsia="Times New Roman" w:hAnsi="Times New Roman" w:cs="Times New Roman"/>
          <w:b/>
          <w:bCs/>
          <w:kern w:val="0"/>
          <w14:ligatures w14:val="none"/>
        </w:rPr>
        <w:t>Valuation in Line with Fundamentals:</w:t>
      </w:r>
      <w:r w:rsidRPr="005F43D1">
        <w:rPr>
          <w:rFonts w:ascii="Times New Roman" w:eastAsia="Times New Roman" w:hAnsi="Times New Roman" w:cs="Times New Roman"/>
          <w:kern w:val="0"/>
          <w14:ligatures w14:val="none"/>
        </w:rPr>
        <w:t xml:space="preserve"> The stock’s current pricing appears to reflect its risk and capital structure appropriately. With a </w:t>
      </w:r>
      <w:r w:rsidRPr="005F43D1">
        <w:rPr>
          <w:rFonts w:ascii="Times New Roman" w:eastAsia="Times New Roman" w:hAnsi="Times New Roman" w:cs="Times New Roman"/>
          <w:b/>
          <w:bCs/>
          <w:kern w:val="0"/>
          <w14:ligatures w14:val="none"/>
        </w:rPr>
        <w:t>WACC of 16.00%</w:t>
      </w:r>
      <w:r w:rsidRPr="005F43D1">
        <w:rPr>
          <w:rFonts w:ascii="Times New Roman" w:eastAsia="Times New Roman" w:hAnsi="Times New Roman" w:cs="Times New Roman"/>
          <w:kern w:val="0"/>
          <w14:ligatures w14:val="none"/>
        </w:rPr>
        <w:t xml:space="preserve"> and a </w:t>
      </w:r>
      <w:r w:rsidRPr="005F43D1">
        <w:rPr>
          <w:rFonts w:ascii="Times New Roman" w:eastAsia="Times New Roman" w:hAnsi="Times New Roman" w:cs="Times New Roman"/>
          <w:b/>
          <w:bCs/>
          <w:kern w:val="0"/>
          <w14:ligatures w14:val="none"/>
        </w:rPr>
        <w:t>cost of equity also at 16.02%</w:t>
      </w:r>
      <w:r w:rsidRPr="005F43D1">
        <w:rPr>
          <w:rFonts w:ascii="Times New Roman" w:eastAsia="Times New Roman" w:hAnsi="Times New Roman" w:cs="Times New Roman"/>
          <w:kern w:val="0"/>
          <w14:ligatures w14:val="none"/>
        </w:rPr>
        <w:t xml:space="preserve">, the required return for investors is relatively high, indicating the market perceives the company as a higher-risk investment. Despite this, the stock does not appear overvalued. The </w:t>
      </w:r>
      <w:r w:rsidRPr="005F43D1">
        <w:rPr>
          <w:rFonts w:ascii="Times New Roman" w:eastAsia="Times New Roman" w:hAnsi="Times New Roman" w:cs="Times New Roman"/>
          <w:b/>
          <w:bCs/>
          <w:kern w:val="0"/>
          <w14:ligatures w14:val="none"/>
        </w:rPr>
        <w:t>very low debt-to-value ratio (~0.20%)</w:t>
      </w:r>
      <w:r w:rsidRPr="005F43D1">
        <w:rPr>
          <w:rFonts w:ascii="Times New Roman" w:eastAsia="Times New Roman" w:hAnsi="Times New Roman" w:cs="Times New Roman"/>
          <w:kern w:val="0"/>
          <w14:ligatures w14:val="none"/>
        </w:rPr>
        <w:t xml:space="preserve"> suggests the firm is overwhelmingly equity-financed, and the market is likely cautious in its valuation. This conservative pricing could imply that the market is awaiting stronger performance or more consistent growth before assigning a premium valuation.</w:t>
      </w:r>
    </w:p>
    <w:p w14:paraId="55F3926D" w14:textId="77777777" w:rsidR="003B2988" w:rsidRPr="003B2988" w:rsidRDefault="003B2988" w:rsidP="003B298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Growth and Investment:</w:t>
      </w:r>
      <w:r w:rsidRPr="003B2988">
        <w:rPr>
          <w:rFonts w:ascii="Times New Roman" w:eastAsia="Times New Roman" w:hAnsi="Times New Roman" w:cs="Times New Roman"/>
          <w:kern w:val="0"/>
          <w14:ligatures w14:val="none"/>
        </w:rPr>
        <w:t xml:space="preserve"> The negative free cash flow in 2024 indicates heavy investments by Goldman Sachs into new ventures or technologies. This bodes well for future growth if those investments yield results. It shows the company is not complacent and is positioning for the future (e.g., expansion in consumer finance or international markets). Sustainable growth rate of ~5.5% suggests it can continue to grow earnings at a reasonable clip without stretching its finances.</w:t>
      </w:r>
    </w:p>
    <w:p w14:paraId="7C453DEE" w14:textId="77777777" w:rsidR="003B2988" w:rsidRPr="003B2988" w:rsidRDefault="003B2988" w:rsidP="003B298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Market Leadership and Competitive Edge:</w:t>
      </w:r>
      <w:r w:rsidRPr="003B2988">
        <w:rPr>
          <w:rFonts w:ascii="Times New Roman" w:eastAsia="Times New Roman" w:hAnsi="Times New Roman" w:cs="Times New Roman"/>
          <w:kern w:val="0"/>
          <w14:ligatures w14:val="none"/>
        </w:rPr>
        <w:t xml:space="preserve"> Goldman’s leading market position and reputation give it an edge in winning business. It remains a go-to advisor for major corporate transactions and a top-tier asset manager. These intangibles support its long-term health – as long as it maintains its talent and client relationships, it should continue to thrive.</w:t>
      </w:r>
    </w:p>
    <w:p w14:paraId="0765C79B" w14:textId="77777777" w:rsidR="003B2988" w:rsidRPr="003B2988" w:rsidRDefault="003B2988" w:rsidP="003B298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Technical Momentum and Forecasts:</w:t>
      </w:r>
      <w:r w:rsidRPr="003B2988">
        <w:rPr>
          <w:rFonts w:ascii="Times New Roman" w:eastAsia="Times New Roman" w:hAnsi="Times New Roman" w:cs="Times New Roman"/>
          <w:kern w:val="0"/>
          <w14:ligatures w14:val="none"/>
        </w:rPr>
        <w:t xml:space="preserve"> Short-term technical analysis reinforces confidence in the stock. Momentum is currently on Goldman’s side, and forecast models predict continued gradual appreciation. This indicates that market sentiment aligns with </w:t>
      </w:r>
      <w:r w:rsidRPr="003B2988">
        <w:rPr>
          <w:rFonts w:ascii="Times New Roman" w:eastAsia="Times New Roman" w:hAnsi="Times New Roman" w:cs="Times New Roman"/>
          <w:kern w:val="0"/>
          <w14:ligatures w14:val="none"/>
        </w:rPr>
        <w:lastRenderedPageBreak/>
        <w:t>the solid fundamentals – investors are willing to buy or hold, expecting better performance ahead.</w:t>
      </w:r>
    </w:p>
    <w:p w14:paraId="66A72766" w14:textId="77777777" w:rsidR="003B2988" w:rsidRPr="003B2988" w:rsidRDefault="003B2988" w:rsidP="003B298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Risks:</w:t>
      </w:r>
      <w:r w:rsidRPr="003B2988">
        <w:rPr>
          <w:rFonts w:ascii="Times New Roman" w:eastAsia="Times New Roman" w:hAnsi="Times New Roman" w:cs="Times New Roman"/>
          <w:kern w:val="0"/>
          <w14:ligatures w14:val="none"/>
        </w:rPr>
        <w:t xml:space="preserve"> No analysis is complete without noting risks. For Goldman Sachs, these include market downturns, regulatory changes, credit risk in its lending/investment portfolio, and global economic slowdowns. Its higher beta means the stock could swing more than the market. But Goldman has a track record of navigating crises (e.g., 2008, 2020) and often emerging strong.</w:t>
      </w:r>
    </w:p>
    <w:p w14:paraId="359F66B2"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Overall Assessment:</w:t>
      </w:r>
      <w:r w:rsidRPr="003B2988">
        <w:rPr>
          <w:rFonts w:ascii="Times New Roman" w:eastAsia="Times New Roman" w:hAnsi="Times New Roman" w:cs="Times New Roman"/>
          <w:kern w:val="0"/>
          <w14:ligatures w14:val="none"/>
        </w:rPr>
        <w:t xml:space="preserve"> Goldman Sachs is financially healthy, profitable, and well-managed. It’s expanding into new areas while retaining dominance in its core segments. The company offers a blend of stability (from its established operations and balance sheet) and growth (from new initiatives and market opportunities). For investors, Goldman Sachs represents a relatively stable blue-chip financial stock with upside potential if economic conditions remain favorable or improve. The recommendation to buy/hold is supported by both the numbers and the market trends.</w:t>
      </w:r>
    </w:p>
    <w:p w14:paraId="3F33910F" w14:textId="77777777" w:rsidR="003B2988" w:rsidRPr="003B2988" w:rsidRDefault="003B2988" w:rsidP="003B2988">
      <w:p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In summary, Goldman Sachs stands as a sound investment choice with a solid foundation and promising prospects, making it a strong candidate for inclusion in a long-term investment portfolio.</w:t>
      </w:r>
    </w:p>
    <w:p w14:paraId="3850B07C" w14:textId="77777777" w:rsidR="003B2988" w:rsidRPr="003B2988" w:rsidRDefault="003B2988" w:rsidP="003B29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2988">
        <w:rPr>
          <w:rFonts w:ascii="Times New Roman" w:eastAsia="Times New Roman" w:hAnsi="Times New Roman" w:cs="Times New Roman"/>
          <w:b/>
          <w:bCs/>
          <w:kern w:val="0"/>
          <w:sz w:val="36"/>
          <w:szCs w:val="36"/>
          <w14:ligatures w14:val="none"/>
        </w:rPr>
        <w:t>References</w:t>
      </w:r>
    </w:p>
    <w:p w14:paraId="0A8F5C31" w14:textId="77777777" w:rsidR="003B2988" w:rsidRPr="003B2988" w:rsidRDefault="003B2988" w:rsidP="003B29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Yahoo Finance – </w:t>
      </w:r>
      <w:r w:rsidRPr="003B2988">
        <w:rPr>
          <w:rFonts w:ascii="Times New Roman" w:eastAsia="Times New Roman" w:hAnsi="Times New Roman" w:cs="Times New Roman"/>
          <w:i/>
          <w:iCs/>
          <w:kern w:val="0"/>
          <w14:ligatures w14:val="none"/>
        </w:rPr>
        <w:t>Goldman Sachs Group (GS) Stock Data and Financials</w:t>
      </w:r>
      <w:r w:rsidRPr="003B2988">
        <w:rPr>
          <w:rFonts w:ascii="Times New Roman" w:eastAsia="Times New Roman" w:hAnsi="Times New Roman" w:cs="Times New Roman"/>
          <w:kern w:val="0"/>
          <w14:ligatures w14:val="none"/>
        </w:rPr>
        <w:t xml:space="preserve"> (historical prices, market capitalization, and key statistics)</w:t>
      </w:r>
    </w:p>
    <w:p w14:paraId="38D080CB" w14:textId="77777777" w:rsidR="003B2988" w:rsidRPr="003B2988" w:rsidRDefault="003B2988" w:rsidP="003B29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NASDAQ – </w:t>
      </w:r>
      <w:r w:rsidRPr="003B2988">
        <w:rPr>
          <w:rFonts w:ascii="Times New Roman" w:eastAsia="Times New Roman" w:hAnsi="Times New Roman" w:cs="Times New Roman"/>
          <w:i/>
          <w:iCs/>
          <w:kern w:val="0"/>
          <w14:ligatures w14:val="none"/>
        </w:rPr>
        <w:t>Goldman Sachs Earnings and P/E ratios</w:t>
      </w:r>
      <w:r w:rsidRPr="003B2988">
        <w:rPr>
          <w:rFonts w:ascii="Times New Roman" w:eastAsia="Times New Roman" w:hAnsi="Times New Roman" w:cs="Times New Roman"/>
          <w:kern w:val="0"/>
          <w14:ligatures w14:val="none"/>
        </w:rPr>
        <w:t xml:space="preserve"> (reference for market valuation and analyst expectations)</w:t>
      </w:r>
    </w:p>
    <w:p w14:paraId="31E9C00B" w14:textId="77777777" w:rsidR="003B2988" w:rsidRPr="003B2988" w:rsidRDefault="003B2988" w:rsidP="003B29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b/>
          <w:bCs/>
          <w:kern w:val="0"/>
          <w14:ligatures w14:val="none"/>
        </w:rPr>
        <w:t>yfinance</w:t>
      </w:r>
      <w:r w:rsidRPr="003B2988">
        <w:rPr>
          <w:rFonts w:ascii="Times New Roman" w:eastAsia="Times New Roman" w:hAnsi="Times New Roman" w:cs="Times New Roman"/>
          <w:kern w:val="0"/>
          <w14:ligatures w14:val="none"/>
        </w:rPr>
        <w:t xml:space="preserve"> Python Library – used to retrieve GS historical stock prices for technical analysis</w:t>
      </w:r>
    </w:p>
    <w:p w14:paraId="6F7926BB" w14:textId="77777777" w:rsidR="003B2988" w:rsidRPr="003B2988" w:rsidRDefault="003B2988" w:rsidP="003B29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Investopedia – </w:t>
      </w:r>
      <w:r w:rsidRPr="003B2988">
        <w:rPr>
          <w:rFonts w:ascii="Times New Roman" w:eastAsia="Times New Roman" w:hAnsi="Times New Roman" w:cs="Times New Roman"/>
          <w:i/>
          <w:iCs/>
          <w:kern w:val="0"/>
          <w14:ligatures w14:val="none"/>
        </w:rPr>
        <w:t>Financial Ratios Definitions</w:t>
      </w:r>
      <w:r w:rsidRPr="003B2988">
        <w:rPr>
          <w:rFonts w:ascii="Times New Roman" w:eastAsia="Times New Roman" w:hAnsi="Times New Roman" w:cs="Times New Roman"/>
          <w:kern w:val="0"/>
          <w14:ligatures w14:val="none"/>
        </w:rPr>
        <w:t xml:space="preserve"> (for explanations of current ratio, ROE, WACC, CAPM, etc.)</w:t>
      </w:r>
    </w:p>
    <w:p w14:paraId="15CFD1BE" w14:textId="77777777" w:rsidR="003B2988" w:rsidRPr="003B2988" w:rsidRDefault="003B2988" w:rsidP="003B29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U.S. Treasury.gov – for current 10-year Treasury yield (risk-free rate) data</w:t>
      </w:r>
    </w:p>
    <w:p w14:paraId="60AE1899" w14:textId="77777777" w:rsidR="003B2988" w:rsidRPr="003B2988" w:rsidRDefault="003B2988" w:rsidP="003B29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Investopedia – </w:t>
      </w:r>
      <w:r w:rsidRPr="003B2988">
        <w:rPr>
          <w:rFonts w:ascii="Times New Roman" w:eastAsia="Times New Roman" w:hAnsi="Times New Roman" w:cs="Times New Roman"/>
          <w:i/>
          <w:iCs/>
          <w:kern w:val="0"/>
          <w14:ligatures w14:val="none"/>
        </w:rPr>
        <w:t>Capital Asset Pricing Model (CAPM)</w:t>
      </w:r>
      <w:r w:rsidRPr="003B2988">
        <w:rPr>
          <w:rFonts w:ascii="Times New Roman" w:eastAsia="Times New Roman" w:hAnsi="Times New Roman" w:cs="Times New Roman"/>
          <w:kern w:val="0"/>
          <w14:ligatures w14:val="none"/>
        </w:rPr>
        <w:t xml:space="preserve"> (theory and formula reference)</w:t>
      </w:r>
    </w:p>
    <w:p w14:paraId="11F296BA" w14:textId="77777777" w:rsidR="003B2988" w:rsidRPr="003B2988" w:rsidRDefault="003B2988" w:rsidP="003B29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Investopedia – </w:t>
      </w:r>
      <w:r w:rsidRPr="003B2988">
        <w:rPr>
          <w:rFonts w:ascii="Times New Roman" w:eastAsia="Times New Roman" w:hAnsi="Times New Roman" w:cs="Times New Roman"/>
          <w:i/>
          <w:iCs/>
          <w:kern w:val="0"/>
          <w14:ligatures w14:val="none"/>
        </w:rPr>
        <w:t>Monte Carlo Simulation in Finance</w:t>
      </w:r>
      <w:r w:rsidRPr="003B2988">
        <w:rPr>
          <w:rFonts w:ascii="Times New Roman" w:eastAsia="Times New Roman" w:hAnsi="Times New Roman" w:cs="Times New Roman"/>
          <w:kern w:val="0"/>
          <w14:ligatures w14:val="none"/>
        </w:rPr>
        <w:t xml:space="preserve"> (concept of modeling stock price paths for risk assessment)</w:t>
      </w:r>
    </w:p>
    <w:p w14:paraId="228D1BB0" w14:textId="77777777" w:rsidR="003B2988" w:rsidRPr="003B2988" w:rsidRDefault="003B2988" w:rsidP="003B29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 xml:space="preserve">Prophet Documentation – </w:t>
      </w:r>
      <w:r w:rsidRPr="003B2988">
        <w:rPr>
          <w:rFonts w:ascii="Times New Roman" w:eastAsia="Times New Roman" w:hAnsi="Times New Roman" w:cs="Times New Roman"/>
          <w:i/>
          <w:iCs/>
          <w:kern w:val="0"/>
          <w14:ligatures w14:val="none"/>
        </w:rPr>
        <w:t>Facebook Prophet User Guide</w:t>
      </w:r>
      <w:r w:rsidRPr="003B2988">
        <w:rPr>
          <w:rFonts w:ascii="Times New Roman" w:eastAsia="Times New Roman" w:hAnsi="Times New Roman" w:cs="Times New Roman"/>
          <w:kern w:val="0"/>
          <w14:ligatures w14:val="none"/>
        </w:rPr>
        <w:t xml:space="preserve"> (used for time series forecasting methodology)</w:t>
      </w:r>
    </w:p>
    <w:p w14:paraId="1A6BF8AB" w14:textId="77777777" w:rsidR="003B2988" w:rsidRPr="003B2988" w:rsidRDefault="003B2988" w:rsidP="003B29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Goldman Sachs 2024 Annual Report – financial statements and cash flow data (basis for ratio calculations)</w:t>
      </w:r>
    </w:p>
    <w:p w14:paraId="3B2F87C5" w14:textId="77777777" w:rsidR="003B2988" w:rsidRPr="003B2988" w:rsidRDefault="003B2988" w:rsidP="003B298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B2988">
        <w:rPr>
          <w:rFonts w:ascii="Times New Roman" w:eastAsia="Times New Roman" w:hAnsi="Times New Roman" w:cs="Times New Roman"/>
          <w:kern w:val="0"/>
          <w14:ligatures w14:val="none"/>
        </w:rPr>
        <w:t>Federal Reserve Economic Data (FRED) – market return assumptions and economic indicators for context</w:t>
      </w:r>
    </w:p>
    <w:p w14:paraId="29786DA1" w14:textId="77777777" w:rsidR="003B2988" w:rsidRDefault="003B2988"/>
    <w:sectPr w:rsidR="003B2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702D7"/>
    <w:multiLevelType w:val="multilevel"/>
    <w:tmpl w:val="2558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50E70"/>
    <w:multiLevelType w:val="multilevel"/>
    <w:tmpl w:val="2E3C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03CC6"/>
    <w:multiLevelType w:val="multilevel"/>
    <w:tmpl w:val="6804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7183B"/>
    <w:multiLevelType w:val="multilevel"/>
    <w:tmpl w:val="9BE04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60054"/>
    <w:multiLevelType w:val="multilevel"/>
    <w:tmpl w:val="66DC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01AA3"/>
    <w:multiLevelType w:val="multilevel"/>
    <w:tmpl w:val="123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7280C"/>
    <w:multiLevelType w:val="multilevel"/>
    <w:tmpl w:val="360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3661F"/>
    <w:multiLevelType w:val="multilevel"/>
    <w:tmpl w:val="E5F2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84BF6"/>
    <w:multiLevelType w:val="multilevel"/>
    <w:tmpl w:val="CD58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54049"/>
    <w:multiLevelType w:val="multilevel"/>
    <w:tmpl w:val="F45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A1882"/>
    <w:multiLevelType w:val="multilevel"/>
    <w:tmpl w:val="B99E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B7EFA"/>
    <w:multiLevelType w:val="multilevel"/>
    <w:tmpl w:val="22F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113F6"/>
    <w:multiLevelType w:val="multilevel"/>
    <w:tmpl w:val="D348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74F7F"/>
    <w:multiLevelType w:val="multilevel"/>
    <w:tmpl w:val="E6D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E5873"/>
    <w:multiLevelType w:val="multilevel"/>
    <w:tmpl w:val="FCC2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278C0"/>
    <w:multiLevelType w:val="multilevel"/>
    <w:tmpl w:val="756C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1054E"/>
    <w:multiLevelType w:val="multilevel"/>
    <w:tmpl w:val="53A8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C0A89"/>
    <w:multiLevelType w:val="multilevel"/>
    <w:tmpl w:val="C0C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448E9"/>
    <w:multiLevelType w:val="multilevel"/>
    <w:tmpl w:val="ADA4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988463">
    <w:abstractNumId w:val="15"/>
  </w:num>
  <w:num w:numId="2" w16cid:durableId="1185634347">
    <w:abstractNumId w:val="10"/>
  </w:num>
  <w:num w:numId="3" w16cid:durableId="1890648568">
    <w:abstractNumId w:val="8"/>
  </w:num>
  <w:num w:numId="4" w16cid:durableId="1950621964">
    <w:abstractNumId w:val="7"/>
  </w:num>
  <w:num w:numId="5" w16cid:durableId="654073162">
    <w:abstractNumId w:val="17"/>
  </w:num>
  <w:num w:numId="6" w16cid:durableId="1324965563">
    <w:abstractNumId w:val="4"/>
  </w:num>
  <w:num w:numId="7" w16cid:durableId="530841627">
    <w:abstractNumId w:val="18"/>
  </w:num>
  <w:num w:numId="8" w16cid:durableId="1569808499">
    <w:abstractNumId w:val="9"/>
  </w:num>
  <w:num w:numId="9" w16cid:durableId="1732970469">
    <w:abstractNumId w:val="12"/>
  </w:num>
  <w:num w:numId="10" w16cid:durableId="982082591">
    <w:abstractNumId w:val="1"/>
  </w:num>
  <w:num w:numId="11" w16cid:durableId="2116244566">
    <w:abstractNumId w:val="5"/>
  </w:num>
  <w:num w:numId="12" w16cid:durableId="1631326298">
    <w:abstractNumId w:val="2"/>
  </w:num>
  <w:num w:numId="13" w16cid:durableId="2135715284">
    <w:abstractNumId w:val="16"/>
  </w:num>
  <w:num w:numId="14" w16cid:durableId="1329096399">
    <w:abstractNumId w:val="3"/>
  </w:num>
  <w:num w:numId="15" w16cid:durableId="804350470">
    <w:abstractNumId w:val="13"/>
  </w:num>
  <w:num w:numId="16" w16cid:durableId="99491780">
    <w:abstractNumId w:val="6"/>
  </w:num>
  <w:num w:numId="17" w16cid:durableId="800344989">
    <w:abstractNumId w:val="14"/>
  </w:num>
  <w:num w:numId="18" w16cid:durableId="1958217651">
    <w:abstractNumId w:val="11"/>
  </w:num>
  <w:num w:numId="19" w16cid:durableId="110900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88"/>
    <w:rsid w:val="0003155F"/>
    <w:rsid w:val="0003644B"/>
    <w:rsid w:val="001B42C0"/>
    <w:rsid w:val="001F2D26"/>
    <w:rsid w:val="00262041"/>
    <w:rsid w:val="002A5E13"/>
    <w:rsid w:val="002B4503"/>
    <w:rsid w:val="00336667"/>
    <w:rsid w:val="00370F0C"/>
    <w:rsid w:val="00391D3F"/>
    <w:rsid w:val="003B2988"/>
    <w:rsid w:val="004446FB"/>
    <w:rsid w:val="00591219"/>
    <w:rsid w:val="005C2E5C"/>
    <w:rsid w:val="005F43D1"/>
    <w:rsid w:val="005F518E"/>
    <w:rsid w:val="006834E3"/>
    <w:rsid w:val="0070562B"/>
    <w:rsid w:val="007C4563"/>
    <w:rsid w:val="007D20D6"/>
    <w:rsid w:val="00801369"/>
    <w:rsid w:val="00832EAC"/>
    <w:rsid w:val="00852C0C"/>
    <w:rsid w:val="008C7331"/>
    <w:rsid w:val="008E702E"/>
    <w:rsid w:val="008F145E"/>
    <w:rsid w:val="00AA4351"/>
    <w:rsid w:val="00B34F8F"/>
    <w:rsid w:val="00C02EC2"/>
    <w:rsid w:val="00D37FD2"/>
    <w:rsid w:val="00E720BF"/>
    <w:rsid w:val="00E80271"/>
    <w:rsid w:val="00E9093C"/>
    <w:rsid w:val="00E925C9"/>
    <w:rsid w:val="00F82D55"/>
    <w:rsid w:val="00FE6E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3278"/>
  <w15:chartTrackingRefBased/>
  <w15:docId w15:val="{685EE940-C776-9545-A8EC-A8AE7310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2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2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2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2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988"/>
    <w:rPr>
      <w:rFonts w:eastAsiaTheme="majorEastAsia" w:cstheme="majorBidi"/>
      <w:color w:val="272727" w:themeColor="text1" w:themeTint="D8"/>
    </w:rPr>
  </w:style>
  <w:style w:type="paragraph" w:styleId="Title">
    <w:name w:val="Title"/>
    <w:basedOn w:val="Normal"/>
    <w:next w:val="Normal"/>
    <w:link w:val="TitleChar"/>
    <w:uiPriority w:val="10"/>
    <w:qFormat/>
    <w:rsid w:val="003B2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988"/>
    <w:pPr>
      <w:spacing w:before="160"/>
      <w:jc w:val="center"/>
    </w:pPr>
    <w:rPr>
      <w:i/>
      <w:iCs/>
      <w:color w:val="404040" w:themeColor="text1" w:themeTint="BF"/>
    </w:rPr>
  </w:style>
  <w:style w:type="character" w:customStyle="1" w:styleId="QuoteChar">
    <w:name w:val="Quote Char"/>
    <w:basedOn w:val="DefaultParagraphFont"/>
    <w:link w:val="Quote"/>
    <w:uiPriority w:val="29"/>
    <w:rsid w:val="003B2988"/>
    <w:rPr>
      <w:i/>
      <w:iCs/>
      <w:color w:val="404040" w:themeColor="text1" w:themeTint="BF"/>
    </w:rPr>
  </w:style>
  <w:style w:type="paragraph" w:styleId="ListParagraph">
    <w:name w:val="List Paragraph"/>
    <w:basedOn w:val="Normal"/>
    <w:uiPriority w:val="34"/>
    <w:qFormat/>
    <w:rsid w:val="003B2988"/>
    <w:pPr>
      <w:ind w:left="720"/>
      <w:contextualSpacing/>
    </w:pPr>
  </w:style>
  <w:style w:type="character" w:styleId="IntenseEmphasis">
    <w:name w:val="Intense Emphasis"/>
    <w:basedOn w:val="DefaultParagraphFont"/>
    <w:uiPriority w:val="21"/>
    <w:qFormat/>
    <w:rsid w:val="003B2988"/>
    <w:rPr>
      <w:i/>
      <w:iCs/>
      <w:color w:val="0F4761" w:themeColor="accent1" w:themeShade="BF"/>
    </w:rPr>
  </w:style>
  <w:style w:type="paragraph" w:styleId="IntenseQuote">
    <w:name w:val="Intense Quote"/>
    <w:basedOn w:val="Normal"/>
    <w:next w:val="Normal"/>
    <w:link w:val="IntenseQuoteChar"/>
    <w:uiPriority w:val="30"/>
    <w:qFormat/>
    <w:rsid w:val="003B2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988"/>
    <w:rPr>
      <w:i/>
      <w:iCs/>
      <w:color w:val="0F4761" w:themeColor="accent1" w:themeShade="BF"/>
    </w:rPr>
  </w:style>
  <w:style w:type="character" w:styleId="IntenseReference">
    <w:name w:val="Intense Reference"/>
    <w:basedOn w:val="DefaultParagraphFont"/>
    <w:uiPriority w:val="32"/>
    <w:qFormat/>
    <w:rsid w:val="003B2988"/>
    <w:rPr>
      <w:b/>
      <w:bCs/>
      <w:smallCaps/>
      <w:color w:val="0F4761" w:themeColor="accent1" w:themeShade="BF"/>
      <w:spacing w:val="5"/>
    </w:rPr>
  </w:style>
  <w:style w:type="paragraph" w:customStyle="1" w:styleId="p1">
    <w:name w:val="p1"/>
    <w:basedOn w:val="Normal"/>
    <w:rsid w:val="003B298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3B2988"/>
  </w:style>
  <w:style w:type="paragraph" w:customStyle="1" w:styleId="p2">
    <w:name w:val="p2"/>
    <w:basedOn w:val="Normal"/>
    <w:rsid w:val="003B298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3B298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3B2988"/>
  </w:style>
  <w:style w:type="character" w:customStyle="1" w:styleId="s3">
    <w:name w:val="s3"/>
    <w:basedOn w:val="DefaultParagraphFont"/>
    <w:rsid w:val="003B2988"/>
  </w:style>
  <w:style w:type="paragraph" w:customStyle="1" w:styleId="p4">
    <w:name w:val="p4"/>
    <w:basedOn w:val="Normal"/>
    <w:rsid w:val="003B298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9524">
      <w:bodyDiv w:val="1"/>
      <w:marLeft w:val="0"/>
      <w:marRight w:val="0"/>
      <w:marTop w:val="0"/>
      <w:marBottom w:val="0"/>
      <w:divBdr>
        <w:top w:val="none" w:sz="0" w:space="0" w:color="auto"/>
        <w:left w:val="none" w:sz="0" w:space="0" w:color="auto"/>
        <w:bottom w:val="none" w:sz="0" w:space="0" w:color="auto"/>
        <w:right w:val="none" w:sz="0" w:space="0" w:color="auto"/>
      </w:divBdr>
    </w:div>
    <w:div w:id="100805934">
      <w:bodyDiv w:val="1"/>
      <w:marLeft w:val="0"/>
      <w:marRight w:val="0"/>
      <w:marTop w:val="0"/>
      <w:marBottom w:val="0"/>
      <w:divBdr>
        <w:top w:val="none" w:sz="0" w:space="0" w:color="auto"/>
        <w:left w:val="none" w:sz="0" w:space="0" w:color="auto"/>
        <w:bottom w:val="none" w:sz="0" w:space="0" w:color="auto"/>
        <w:right w:val="none" w:sz="0" w:space="0" w:color="auto"/>
      </w:divBdr>
    </w:div>
    <w:div w:id="547061601">
      <w:bodyDiv w:val="1"/>
      <w:marLeft w:val="0"/>
      <w:marRight w:val="0"/>
      <w:marTop w:val="0"/>
      <w:marBottom w:val="0"/>
      <w:divBdr>
        <w:top w:val="none" w:sz="0" w:space="0" w:color="auto"/>
        <w:left w:val="none" w:sz="0" w:space="0" w:color="auto"/>
        <w:bottom w:val="none" w:sz="0" w:space="0" w:color="auto"/>
        <w:right w:val="none" w:sz="0" w:space="0" w:color="auto"/>
      </w:divBdr>
    </w:div>
    <w:div w:id="1404795038">
      <w:bodyDiv w:val="1"/>
      <w:marLeft w:val="0"/>
      <w:marRight w:val="0"/>
      <w:marTop w:val="0"/>
      <w:marBottom w:val="0"/>
      <w:divBdr>
        <w:top w:val="none" w:sz="0" w:space="0" w:color="auto"/>
        <w:left w:val="none" w:sz="0" w:space="0" w:color="auto"/>
        <w:bottom w:val="none" w:sz="0" w:space="0" w:color="auto"/>
        <w:right w:val="none" w:sz="0" w:space="0" w:color="auto"/>
      </w:divBdr>
    </w:div>
    <w:div w:id="1958099402">
      <w:bodyDiv w:val="1"/>
      <w:marLeft w:val="0"/>
      <w:marRight w:val="0"/>
      <w:marTop w:val="0"/>
      <w:marBottom w:val="0"/>
      <w:divBdr>
        <w:top w:val="none" w:sz="0" w:space="0" w:color="auto"/>
        <w:left w:val="none" w:sz="0" w:space="0" w:color="auto"/>
        <w:bottom w:val="none" w:sz="0" w:space="0" w:color="auto"/>
        <w:right w:val="none" w:sz="0" w:space="0" w:color="auto"/>
      </w:divBdr>
    </w:div>
    <w:div w:id="1981761598">
      <w:bodyDiv w:val="1"/>
      <w:marLeft w:val="0"/>
      <w:marRight w:val="0"/>
      <w:marTop w:val="0"/>
      <w:marBottom w:val="0"/>
      <w:divBdr>
        <w:top w:val="none" w:sz="0" w:space="0" w:color="auto"/>
        <w:left w:val="none" w:sz="0" w:space="0" w:color="auto"/>
        <w:bottom w:val="none" w:sz="0" w:space="0" w:color="auto"/>
        <w:right w:val="none" w:sz="0" w:space="0" w:color="auto"/>
      </w:divBdr>
    </w:div>
    <w:div w:id="205777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5090</Words>
  <Characters>29013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dc:creator>
  <cp:keywords/>
  <dc:description/>
  <cp:lastModifiedBy>sarath krishna marath</cp:lastModifiedBy>
  <cp:revision>3</cp:revision>
  <dcterms:created xsi:type="dcterms:W3CDTF">2025-04-08T22:33:00Z</dcterms:created>
  <dcterms:modified xsi:type="dcterms:W3CDTF">2025-04-08T22:57:00Z</dcterms:modified>
</cp:coreProperties>
</file>