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0"/>
          <w:szCs w:val="30"/>
        </w:rPr>
        <w:t xml:space="preserve">FounderCheck AI, Business Model</w:t>
      </w:r>
    </w:p>
    <w:p>
      <w:pPr>
        <w:spacing w:after="140"/>
      </w:pPr>
      <w:r>
        <w:rPr>
          <w:i/>
          <w:iCs/>
          <w:sz w:val="19"/>
          <w:szCs w:val="19"/>
        </w:rPr>
        <w:t xml:space="preserve">This section describes a proposed business model for FounderCheck AI as a product. No billing system is currently implemented, this is a plan, not a claim about what exists today.</w:t>
      </w:r>
    </w:p>
    <w:p>
      <w:pPr>
        <w:pStyle w:val="Heading1"/>
        <w:spacing w:after="90" w:before="200"/>
      </w:pPr>
      <w:r>
        <w:rPr>
          <w:b/>
          <w:bCs/>
          <w:sz w:val="25"/>
          <w:szCs w:val="25"/>
        </w:rPr>
        <w:t xml:space="preserve">Problem</w:t>
      </w:r>
    </w:p>
    <w:p>
      <w:pPr>
        <w:spacing w:after="120" w:line="264"/>
      </w:pPr>
      <w:r>
        <w:rPr>
          <w:sz w:val="21"/>
          <w:szCs w:val="21"/>
        </w:rPr>
        <w:t xml:space="preserve">Startup mentorship and structured idea validation in Bangladesh is concentrated in Dhaka and Chittagong. Bangladesh's own Hi Tech Park Authority states this directly in its assessment of the ecosystem. A founder outside that network, or one who cannot pay a foreign, United States dollar priced validation tool, has few structured ways to test an idea before committing time and money to it.</w:t>
      </w:r>
    </w:p>
    <w:p>
      <w:pPr>
        <w:pStyle w:val="Heading1"/>
        <w:spacing w:after="90" w:before="200"/>
      </w:pPr>
      <w:r>
        <w:rPr>
          <w:b/>
          <w:bCs/>
          <w:sz w:val="25"/>
          <w:szCs w:val="25"/>
        </w:rPr>
        <w:t xml:space="preserve">Solution</w:t>
      </w:r>
    </w:p>
    <w:p>
      <w:pPr>
        <w:spacing w:after="120" w:line="264"/>
      </w:pPr>
      <w:r>
        <w:rPr>
          <w:sz w:val="21"/>
          <w:szCs w:val="21"/>
        </w:rPr>
        <w:t xml:space="preserve">FounderCheck AI gives a founder a structured, multi factor readiness assessment, extended analysis, a risk assessment, and investor pitch practice, all in one connected flow, priced and built for a Bangladeshi founder rather than a global, dollar paying audience.</w:t>
      </w:r>
    </w:p>
    <w:p>
      <w:pPr>
        <w:pStyle w:val="Heading1"/>
        <w:spacing w:after="90" w:before="200"/>
      </w:pPr>
      <w:r>
        <w:rPr>
          <w:b/>
          <w:bCs/>
          <w:sz w:val="25"/>
          <w:szCs w:val="25"/>
        </w:rPr>
        <w:t xml:space="preserve">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shd w:fill="FFFFFF" w:val="clear"/>
          </w:tcPr>
          <w:p>
            <w:r>
              <w:rPr>
                <w:b/>
                <w:bCs/>
                <w:sz w:val="19"/>
                <w:szCs w:val="19"/>
              </w:rPr>
              <w:t xml:space="preserve">Segment</w:t>
            </w:r>
          </w:p>
        </w:tc>
        <w:tc>
          <w:tcPr>
            <w:tcW w:type="dxa" w:w="3400"/>
            <w:shd w:fill="FFFFFF" w:val="clear"/>
          </w:tcPr>
          <w:p>
            <w:r>
              <w:rPr>
                <w:b/>
                <w:bCs/>
                <w:sz w:val="19"/>
                <w:szCs w:val="19"/>
              </w:rPr>
              <w:t xml:space="preserve">Who they are</w:t>
            </w:r>
          </w:p>
        </w:tc>
        <w:tc>
          <w:tcPr>
            <w:tcW w:type="dxa" w:w="3160"/>
            <w:shd w:fill="FFFFFF" w:val="clear"/>
          </w:tcPr>
          <w:p>
            <w:r>
              <w:rPr>
                <w:b/>
                <w:bCs/>
                <w:sz w:val="19"/>
                <w:szCs w:val="19"/>
              </w:rPr>
              <w:t xml:space="preserve">What they pay for</w:t>
            </w:r>
          </w:p>
        </w:tc>
      </w:tr>
      <w:tr>
        <w:tc>
          <w:tcPr>
            <w:tcW w:type="dxa" w:w="2800"/>
            <w:shd w:fill="FFFFFF" w:val="clear"/>
          </w:tcPr>
          <w:p>
            <w:r>
              <w:rPr>
                <w:b w:val="false"/>
                <w:bCs w:val="false"/>
                <w:sz w:val="19"/>
                <w:szCs w:val="19"/>
              </w:rPr>
              <w:t xml:space="preserve">Individual founders</w:t>
            </w:r>
          </w:p>
        </w:tc>
        <w:tc>
          <w:tcPr>
            <w:tcW w:type="dxa" w:w="3400"/>
            <w:shd w:fill="FFFFFF" w:val="clear"/>
          </w:tcPr>
          <w:p>
            <w:r>
              <w:rPr>
                <w:b w:val="false"/>
                <w:bCs w:val="false"/>
                <w:sz w:val="19"/>
                <w:szCs w:val="19"/>
              </w:rPr>
              <w:t xml:space="preserve">Students and first time founders outside Dhaka and Chittagong's mentor network</w:t>
            </w:r>
          </w:p>
        </w:tc>
        <w:tc>
          <w:tcPr>
            <w:tcW w:type="dxa" w:w="3160"/>
            <w:shd w:fill="FFFFFF" w:val="clear"/>
          </w:tcPr>
          <w:p>
            <w:r>
              <w:rPr>
                <w:b w:val="false"/>
                <w:bCs w:val="false"/>
                <w:sz w:val="19"/>
                <w:szCs w:val="19"/>
              </w:rPr>
              <w:t xml:space="preserve">Free quick score; low BDT fee for extended analysis, investor Q and A practice, and PDF export</w:t>
            </w:r>
          </w:p>
        </w:tc>
      </w:tr>
      <w:tr>
        <w:tc>
          <w:tcPr>
            <w:tcW w:type="dxa" w:w="2800"/>
            <w:shd w:fill="FFFFFF" w:val="clear"/>
          </w:tcPr>
          <w:p>
            <w:r>
              <w:rPr>
                <w:b w:val="false"/>
                <w:bCs w:val="false"/>
                <w:sz w:val="19"/>
                <w:szCs w:val="19"/>
              </w:rPr>
              <w:t xml:space="preserve">University entrepreneurship clubs and incubators</w:t>
            </w:r>
          </w:p>
        </w:tc>
        <w:tc>
          <w:tcPr>
            <w:tcW w:type="dxa" w:w="3400"/>
            <w:shd w:fill="FFFFFF" w:val="clear"/>
          </w:tcPr>
          <w:p>
            <w:r>
              <w:rPr>
                <w:b w:val="false"/>
                <w:bCs w:val="false"/>
                <w:sz w:val="19"/>
                <w:szCs w:val="19"/>
              </w:rPr>
              <w:t xml:space="preserve">Groups like Startup Dhaka cohorts or university SWE clubs</w:t>
            </w:r>
          </w:p>
        </w:tc>
        <w:tc>
          <w:tcPr>
            <w:tcW w:type="dxa" w:w="3160"/>
            <w:shd w:fill="FFFFFF" w:val="clear"/>
          </w:tcPr>
          <w:p>
            <w:r>
              <w:rPr>
                <w:b w:val="false"/>
                <w:bCs w:val="false"/>
                <w:sz w:val="19"/>
                <w:szCs w:val="19"/>
              </w:rPr>
              <w:t xml:space="preserve">Flat institutional license covering their student cohort, rather than per student billing</w:t>
            </w:r>
          </w:p>
        </w:tc>
      </w:tr>
    </w:tbl>
    <w:p>
      <w:pPr>
        <w:spacing w:before="100"/>
      </w:pPr>
    </w:p>
    <w:p>
      <w:pPr>
        <w:pStyle w:val="Heading1"/>
        <w:spacing w:after="90" w:before="200"/>
      </w:pPr>
      <w:r>
        <w:rPr>
          <w:b/>
          <w:bCs/>
          <w:sz w:val="25"/>
          <w:szCs w:val="25"/>
        </w:rPr>
        <w:t xml:space="preserve">Revenue Streams</w:t>
      </w:r>
    </w:p>
    <w:p>
      <w:pPr>
        <w:pStyle w:val="ListParagraph"/>
        <w:numPr>
          <w:ilvl w:val="0"/>
          <w:numId w:val="1"/>
        </w:numPr>
        <w:spacing w:after="60"/>
      </w:pPr>
      <w:r>
        <w:rPr>
          <w:sz w:val="21"/>
          <w:szCs w:val="21"/>
        </w:rPr>
        <w:t xml:space="preserve">Freemium subscription: the core readiness score stays free to use, removing the barrier to first use. A low, BDT denominated fee unlocks extended analysis, the investor Q and A practice module, and PDF export.</w:t>
      </w:r>
    </w:p>
    <w:p>
      <w:pPr>
        <w:pStyle w:val="ListParagraph"/>
        <w:numPr>
          <w:ilvl w:val="0"/>
          <w:numId w:val="1"/>
        </w:numPr>
        <w:spacing w:after="60"/>
      </w:pPr>
      <w:r>
        <w:rPr>
          <w:sz w:val="21"/>
          <w:szCs w:val="21"/>
        </w:rPr>
        <w:t xml:space="preserve">Institutional licensing: a flat rate offered to university entrepreneurship clubs and incubator programs, giving their full cohort access without per student billing friction.</w:t>
      </w:r>
    </w:p>
    <w:p>
      <w:pPr>
        <w:pStyle w:val="ListParagraph"/>
        <w:numPr>
          <w:ilvl w:val="0"/>
          <w:numId w:val="1"/>
        </w:numPr>
        <w:spacing w:after="60"/>
      </w:pPr>
      <w:r>
        <w:rPr>
          <w:sz w:val="21"/>
          <w:szCs w:val="21"/>
        </w:rPr>
        <w:t xml:space="preserve">Future consideration: a small placement or referral relationship with local incubators or grant programs, only once the core product itself has proven real usage, not a launch feature.</w:t>
      </w:r>
    </w:p>
    <w:p>
      <w:pPr>
        <w:pStyle w:val="Heading1"/>
        <w:spacing w:after="90" w:before="200"/>
      </w:pPr>
      <w:r>
        <w:rPr>
          <w:b/>
          <w:bCs/>
          <w:sz w:val="25"/>
          <w:szCs w:val="25"/>
        </w:rPr>
        <w:t xml:space="preserve">Cost Structure</w:t>
      </w:r>
    </w:p>
    <w:p>
      <w:pPr>
        <w:pStyle w:val="ListParagraph"/>
        <w:numPr>
          <w:ilvl w:val="0"/>
          <w:numId w:val="1"/>
        </w:numPr>
        <w:spacing w:after="60"/>
      </w:pPr>
      <w:r>
        <w:rPr>
          <w:sz w:val="21"/>
          <w:szCs w:val="21"/>
        </w:rPr>
        <w:t xml:space="preserve">LLM API usage (OpenAI), the primary variable cost, scaling with usage</w:t>
      </w:r>
    </w:p>
    <w:p>
      <w:pPr>
        <w:pStyle w:val="ListParagraph"/>
        <w:numPr>
          <w:ilvl w:val="0"/>
          <w:numId w:val="1"/>
        </w:numPr>
        <w:spacing w:after="60"/>
      </w:pPr>
      <w:r>
        <w:rPr>
          <w:sz w:val="21"/>
          <w:szCs w:val="21"/>
        </w:rPr>
        <w:t xml:space="preserve">Managed Postgres hosting (Neon)</w:t>
      </w:r>
    </w:p>
    <w:p>
      <w:pPr>
        <w:pStyle w:val="ListParagraph"/>
        <w:numPr>
          <w:ilvl w:val="0"/>
          <w:numId w:val="1"/>
        </w:numPr>
        <w:spacing w:after="60"/>
      </w:pPr>
      <w:r>
        <w:rPr>
          <w:sz w:val="21"/>
          <w:szCs w:val="21"/>
        </w:rPr>
        <w:t xml:space="preserve">Backend and frontend hosting (currently Render and Vercel, both on free tiers during development)</w:t>
      </w:r>
    </w:p>
    <w:p>
      <w:pPr>
        <w:pStyle w:val="ListParagraph"/>
        <w:numPr>
          <w:ilvl w:val="0"/>
          <w:numId w:val="1"/>
        </w:numPr>
        <w:spacing w:after="60"/>
      </w:pPr>
      <w:r>
        <w:rPr>
          <w:sz w:val="21"/>
          <w:szCs w:val="21"/>
        </w:rPr>
        <w:t xml:space="preserve">Founder time, currently unpaid, a two person student team</w:t>
      </w:r>
    </w:p>
    <w:p>
      <w:pPr>
        <w:pStyle w:val="Heading1"/>
        <w:spacing w:after="90" w:before="200"/>
      </w:pPr>
      <w:r>
        <w:rPr>
          <w:b/>
          <w:bCs/>
          <w:sz w:val="25"/>
          <w:szCs w:val="25"/>
        </w:rPr>
        <w:t xml:space="preserve">Why This Pricing Approach</w:t>
      </w:r>
    </w:p>
    <w:p>
      <w:pPr>
        <w:spacing w:after="120" w:line="264"/>
      </w:pPr>
      <w:r>
        <w:rPr>
          <w:sz w:val="21"/>
          <w:szCs w:val="21"/>
        </w:rPr>
        <w:t xml:space="preserve">Global competitors in this category price in United States dollars, a real access barrier for many Bangladeshi students and first time founders. Pricing in BDT, and keeping the core score free, targets exactly the founder this product is built for, someone who is priced out of the existing global tools, not someone comparing subscription tiers.</w:t>
      </w:r>
    </w:p>
    <w:p>
      <w:pPr>
        <w:pStyle w:val="Heading1"/>
        <w:spacing w:after="90" w:before="200"/>
      </w:pPr>
      <w:r>
        <w:rPr>
          <w:b/>
          <w:bCs/>
          <w:sz w:val="25"/>
          <w:szCs w:val="25"/>
        </w:rPr>
        <w:t xml:space="preserve">Honest Caveats</w:t>
      </w:r>
    </w:p>
    <w:p>
      <w:pPr>
        <w:pStyle w:val="ListParagraph"/>
        <w:numPr>
          <w:ilvl w:val="0"/>
          <w:numId w:val="1"/>
        </w:numPr>
        <w:spacing w:after="60"/>
      </w:pPr>
      <w:r>
        <w:rPr>
          <w:sz w:val="21"/>
          <w:szCs w:val="21"/>
        </w:rPr>
        <w:t xml:space="preserve">No payment processing is implemented today. This is the next milestone after the current core product is stable.</w:t>
      </w:r>
    </w:p>
    <w:p>
      <w:pPr>
        <w:pStyle w:val="ListParagraph"/>
        <w:numPr>
          <w:ilvl w:val="0"/>
          <w:numId w:val="1"/>
        </w:numPr>
        <w:spacing w:after="60"/>
      </w:pPr>
      <w:r>
        <w:rPr>
          <w:sz w:val="21"/>
          <w:szCs w:val="21"/>
        </w:rPr>
        <w:t xml:space="preserve">Pricing figures above are directional, not final, and would need real user research before being set.</w:t>
      </w:r>
    </w:p>
    <w:p>
      <w:pPr>
        <w:pStyle w:val="ListParagraph"/>
        <w:numPr>
          <w:ilvl w:val="0"/>
          <w:numId w:val="1"/>
        </w:numPr>
        <w:spacing w:after="60"/>
      </w:pPr>
      <w:r>
        <w:rPr>
          <w:sz w:val="21"/>
          <w:szCs w:val="21"/>
        </w:rPr>
        <w:t xml:space="preserve">Institutional licensing depends on actual outreach and partnership conversations that have not yet happened.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2026-07-11T19:38:11.370Z</dcterms:created>
  <dcterms:modified xsi:type="dcterms:W3CDTF">2026-07-11T19:38:11.370Z</dcterms:modified>
</cp:coreProperties>
</file>

<file path=docProps/custom.xml><?xml version="1.0" encoding="utf-8"?>
<Properties xmlns="http://schemas.openxmlformats.org/officeDocument/2006/custom-properties" xmlns:vt="http://schemas.openxmlformats.org/officeDocument/2006/docPropsVTypes"/>
</file>