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C0EBB8B" wp14:paraId="0C4D14F0" wp14:textId="5C4727F2">
      <w:pPr>
        <w:spacing w:before="240" w:beforeAutospacing="off" w:after="240" w:afterAutospacing="off"/>
        <w:rPr>
          <w:rFonts w:ascii="Aptos" w:hAnsi="Aptos" w:eastAsia="Aptos" w:cs="Aptos"/>
          <w:b w:val="1"/>
          <w:bCs w:val="1"/>
          <w:noProof w:val="0"/>
          <w:sz w:val="36"/>
          <w:szCs w:val="36"/>
          <w:lang w:val="en-US"/>
        </w:rPr>
      </w:pPr>
      <w:r w:rsidRPr="2C0EBB8B" w:rsidR="71C513D7">
        <w:rPr>
          <w:rFonts w:ascii="Aptos" w:hAnsi="Aptos" w:eastAsia="Aptos" w:cs="Aptos"/>
          <w:b w:val="1"/>
          <w:bCs w:val="1"/>
          <w:noProof w:val="0"/>
          <w:sz w:val="36"/>
          <w:szCs w:val="36"/>
          <w:lang w:val="en-US"/>
        </w:rPr>
        <w:t>Predictive Insights &amp; Strategic Recommendations for Collections</w:t>
      </w:r>
    </w:p>
    <w:p xmlns:wp14="http://schemas.microsoft.com/office/word/2010/wordml" w:rsidP="2C0EBB8B" wp14:paraId="1775F0A2" wp14:textId="7ADB0C46">
      <w:pPr>
        <w:pStyle w:val="Heading3"/>
        <w:spacing w:before="281" w:beforeAutospacing="off" w:after="281" w:afterAutospacing="off"/>
      </w:pPr>
      <w:r w:rsidRPr="2C0EBB8B" w:rsidR="71C513D7">
        <w:rPr>
          <w:rFonts w:ascii="Aptos" w:hAnsi="Aptos" w:eastAsia="Aptos" w:cs="Aptos"/>
          <w:b w:val="1"/>
          <w:bCs w:val="1"/>
          <w:noProof w:val="0"/>
          <w:sz w:val="28"/>
          <w:szCs w:val="28"/>
          <w:lang w:val="en-US"/>
        </w:rPr>
        <w:t>1. Summary of Predictive Insights</w:t>
      </w:r>
    </w:p>
    <w:p xmlns:wp14="http://schemas.microsoft.com/office/word/2010/wordml" w:rsidP="2C0EBB8B" wp14:paraId="627F4C9B" wp14:textId="6D63C10C">
      <w:pPr>
        <w:spacing w:before="240" w:beforeAutospacing="off" w:after="240" w:afterAutospacing="off"/>
      </w:pPr>
      <w:r w:rsidRPr="2C0EBB8B" w:rsidR="71C513D7">
        <w:rPr>
          <w:rFonts w:ascii="Aptos" w:hAnsi="Aptos" w:eastAsia="Aptos" w:cs="Aptos"/>
          <w:noProof w:val="0"/>
          <w:sz w:val="24"/>
          <w:szCs w:val="24"/>
          <w:lang w:val="en-US"/>
        </w:rPr>
        <w:t>Our analysis of the customer dataset has identified specific behavioral and demographic patterns that strongly correlate with higher delinquency risk. By isolating these factors, the Collections team can shift from reactive recovery to proactive prevention.</w:t>
      </w:r>
    </w:p>
    <w:p xmlns:wp14="http://schemas.microsoft.com/office/word/2010/wordml" w:rsidP="2C0EBB8B" wp14:paraId="0988A4A7" wp14:textId="4FF09B81">
      <w:pPr>
        <w:spacing w:before="240" w:beforeAutospacing="off" w:after="240" w:afterAutospacing="off"/>
      </w:pPr>
      <w:r w:rsidRPr="2C0EBB8B" w:rsidR="71C513D7">
        <w:rPr>
          <w:rFonts w:ascii="Aptos" w:hAnsi="Aptos" w:eastAsia="Aptos" w:cs="Aptos"/>
          <w:b w:val="1"/>
          <w:bCs w:val="1"/>
          <w:noProof w:val="0"/>
          <w:sz w:val="24"/>
          <w:szCs w:val="24"/>
          <w:lang w:val="en-US"/>
        </w:rPr>
        <w:t>Key High-Risk Segments</w:t>
      </w:r>
    </w:p>
    <w:p xmlns:wp14="http://schemas.microsoft.com/office/word/2010/wordml" w:rsidP="2C0EBB8B" wp14:paraId="3EADDF86" wp14:textId="6D7E5FD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C0EBB8B" w:rsidR="71C513D7">
        <w:rPr>
          <w:rFonts w:ascii="Aptos" w:hAnsi="Aptos" w:eastAsia="Aptos" w:cs="Aptos"/>
          <w:b w:val="1"/>
          <w:bCs w:val="1"/>
          <w:noProof w:val="0"/>
          <w:sz w:val="24"/>
          <w:szCs w:val="24"/>
          <w:lang w:val="en-US"/>
        </w:rPr>
        <w:t>The "Mid-Life" Borrower (Age 46-60):</w:t>
      </w:r>
      <w:r w:rsidRPr="2C0EBB8B" w:rsidR="71C513D7">
        <w:rPr>
          <w:rFonts w:ascii="Aptos" w:hAnsi="Aptos" w:eastAsia="Aptos" w:cs="Aptos"/>
          <w:noProof w:val="0"/>
          <w:sz w:val="24"/>
          <w:szCs w:val="24"/>
          <w:lang w:val="en-US"/>
        </w:rPr>
        <w:t xml:space="preserve"> This specific age cohort exhibits the highest delinquency rate at </w:t>
      </w:r>
      <w:r w:rsidRPr="2C0EBB8B" w:rsidR="71C513D7">
        <w:rPr>
          <w:rFonts w:ascii="Aptos" w:hAnsi="Aptos" w:eastAsia="Aptos" w:cs="Aptos"/>
          <w:b w:val="1"/>
          <w:bCs w:val="1"/>
          <w:noProof w:val="0"/>
          <w:sz w:val="24"/>
          <w:szCs w:val="24"/>
          <w:lang w:val="en-US"/>
        </w:rPr>
        <w:t>21.7%</w:t>
      </w:r>
      <w:r w:rsidRPr="2C0EBB8B" w:rsidR="71C513D7">
        <w:rPr>
          <w:rFonts w:ascii="Aptos" w:hAnsi="Aptos" w:eastAsia="Aptos" w:cs="Aptos"/>
          <w:noProof w:val="0"/>
          <w:sz w:val="24"/>
          <w:szCs w:val="24"/>
          <w:lang w:val="en-US"/>
        </w:rPr>
        <w:t>, significantly higher than the average. This suggests a segment potentially facing distinct financial pressures (e.g., dependents, mortgage stress) compared to younger or retired groups.</w:t>
      </w:r>
    </w:p>
    <w:p xmlns:wp14="http://schemas.microsoft.com/office/word/2010/wordml" w:rsidP="2C0EBB8B" wp14:paraId="3CD5FA8C" wp14:textId="44AF0A7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C0EBB8B" w:rsidR="71C513D7">
        <w:rPr>
          <w:rFonts w:ascii="Aptos" w:hAnsi="Aptos" w:eastAsia="Aptos" w:cs="Aptos"/>
          <w:b w:val="1"/>
          <w:bCs w:val="1"/>
          <w:noProof w:val="0"/>
          <w:sz w:val="24"/>
          <w:szCs w:val="24"/>
          <w:lang w:val="en-US"/>
        </w:rPr>
        <w:t>Geographic Concentration (Los Angeles):</w:t>
      </w:r>
      <w:r w:rsidRPr="2C0EBB8B" w:rsidR="71C513D7">
        <w:rPr>
          <w:rFonts w:ascii="Aptos" w:hAnsi="Aptos" w:eastAsia="Aptos" w:cs="Aptos"/>
          <w:noProof w:val="0"/>
          <w:sz w:val="24"/>
          <w:szCs w:val="24"/>
          <w:lang w:val="en-US"/>
        </w:rPr>
        <w:t xml:space="preserve"> Customers located in Los Angeles show a </w:t>
      </w:r>
      <w:r w:rsidRPr="2C0EBB8B" w:rsidR="71C513D7">
        <w:rPr>
          <w:rFonts w:ascii="Aptos" w:hAnsi="Aptos" w:eastAsia="Aptos" w:cs="Aptos"/>
          <w:b w:val="1"/>
          <w:bCs w:val="1"/>
          <w:noProof w:val="0"/>
          <w:sz w:val="24"/>
          <w:szCs w:val="24"/>
          <w:lang w:val="en-US"/>
        </w:rPr>
        <w:t>19.6%</w:t>
      </w:r>
      <w:r w:rsidRPr="2C0EBB8B" w:rsidR="71C513D7">
        <w:rPr>
          <w:rFonts w:ascii="Aptos" w:hAnsi="Aptos" w:eastAsia="Aptos" w:cs="Aptos"/>
          <w:noProof w:val="0"/>
          <w:sz w:val="24"/>
          <w:szCs w:val="24"/>
          <w:lang w:val="en-US"/>
        </w:rPr>
        <w:t xml:space="preserve"> delinquency rate, nearly double that of New York (11.9%). This indicates regional economic factors may be influencing repayment capacity.</w:t>
      </w:r>
    </w:p>
    <w:p xmlns:wp14="http://schemas.microsoft.com/office/word/2010/wordml" w:rsidP="2C0EBB8B" wp14:paraId="17FCBE01" wp14:textId="202B9F8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C0EBB8B" w:rsidR="71C513D7">
        <w:rPr>
          <w:rFonts w:ascii="Aptos" w:hAnsi="Aptos" w:eastAsia="Aptos" w:cs="Aptos"/>
          <w:b w:val="1"/>
          <w:bCs w:val="1"/>
          <w:noProof w:val="0"/>
          <w:sz w:val="24"/>
          <w:szCs w:val="24"/>
          <w:lang w:val="en-US"/>
        </w:rPr>
        <w:t>Moderate-Utilization Users:</w:t>
      </w:r>
      <w:r w:rsidRPr="2C0EBB8B" w:rsidR="71C513D7">
        <w:rPr>
          <w:rFonts w:ascii="Aptos" w:hAnsi="Aptos" w:eastAsia="Aptos" w:cs="Aptos"/>
          <w:noProof w:val="0"/>
          <w:sz w:val="24"/>
          <w:szCs w:val="24"/>
          <w:lang w:val="en-US"/>
        </w:rPr>
        <w:t xml:space="preserve"> A distinct "risk cliff" appears when credit utilization exceeds </w:t>
      </w:r>
      <w:r w:rsidRPr="2C0EBB8B" w:rsidR="71C513D7">
        <w:rPr>
          <w:rFonts w:ascii="Aptos" w:hAnsi="Aptos" w:eastAsia="Aptos" w:cs="Aptos"/>
          <w:b w:val="1"/>
          <w:bCs w:val="1"/>
          <w:noProof w:val="0"/>
          <w:sz w:val="24"/>
          <w:szCs w:val="24"/>
          <w:lang w:val="en-US"/>
        </w:rPr>
        <w:t>30%</w:t>
      </w:r>
      <w:r w:rsidRPr="2C0EBB8B" w:rsidR="71C513D7">
        <w:rPr>
          <w:rFonts w:ascii="Aptos" w:hAnsi="Aptos" w:eastAsia="Aptos" w:cs="Aptos"/>
          <w:noProof w:val="0"/>
          <w:sz w:val="24"/>
          <w:szCs w:val="24"/>
          <w:lang w:val="en-US"/>
        </w:rPr>
        <w:t>. Customers below this threshold have a low delinquency rate (12%), while those above it jump to ~17%, indicating that even moderate debt loads signal potential distress.</w:t>
      </w:r>
    </w:p>
    <w:p xmlns:wp14="http://schemas.microsoft.com/office/word/2010/wordml" w:rsidP="2C0EBB8B" wp14:paraId="04A56C24" wp14:textId="5ABA5292">
      <w:pPr>
        <w:spacing w:before="240" w:beforeAutospacing="off" w:after="240" w:afterAutospacing="off"/>
      </w:pPr>
      <w:r w:rsidRPr="2C0EBB8B" w:rsidR="71C513D7">
        <w:rPr>
          <w:rFonts w:ascii="Aptos" w:hAnsi="Aptos" w:eastAsia="Aptos" w:cs="Aptos"/>
          <w:b w:val="1"/>
          <w:bCs w:val="1"/>
          <w:noProof w:val="0"/>
          <w:sz w:val="24"/>
          <w:szCs w:val="24"/>
          <w:lang w:val="en-US"/>
        </w:rPr>
        <w:t>Top 3 Risk Factors</w:t>
      </w:r>
    </w:p>
    <w:p xmlns:wp14="http://schemas.microsoft.com/office/word/2010/wordml" w:rsidP="2C0EBB8B" wp14:paraId="47C136A0" wp14:textId="535914CF">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C0EBB8B" w:rsidR="71C513D7">
        <w:rPr>
          <w:rFonts w:ascii="Aptos" w:hAnsi="Aptos" w:eastAsia="Aptos" w:cs="Aptos"/>
          <w:b w:val="1"/>
          <w:bCs w:val="1"/>
          <w:noProof w:val="0"/>
          <w:sz w:val="24"/>
          <w:szCs w:val="24"/>
          <w:lang w:val="en-US"/>
        </w:rPr>
        <w:t>Age Vulnerability (46-60):</w:t>
      </w:r>
      <w:r w:rsidRPr="2C0EBB8B" w:rsidR="71C513D7">
        <w:rPr>
          <w:rFonts w:ascii="Aptos" w:hAnsi="Aptos" w:eastAsia="Aptos" w:cs="Aptos"/>
          <w:noProof w:val="0"/>
          <w:sz w:val="24"/>
          <w:szCs w:val="24"/>
          <w:lang w:val="en-US"/>
        </w:rPr>
        <w:t xml:space="preserve"> Borrowers in this age bracket are ~35% more likely to default than the average customer.</w:t>
      </w:r>
    </w:p>
    <w:p xmlns:wp14="http://schemas.microsoft.com/office/word/2010/wordml" w:rsidP="2C0EBB8B" wp14:paraId="0F052E70" wp14:textId="2CAC328C">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C0EBB8B" w:rsidR="71C513D7">
        <w:rPr>
          <w:rFonts w:ascii="Aptos" w:hAnsi="Aptos" w:eastAsia="Aptos" w:cs="Aptos"/>
          <w:b w:val="1"/>
          <w:bCs w:val="1"/>
          <w:noProof w:val="0"/>
          <w:sz w:val="24"/>
          <w:szCs w:val="24"/>
          <w:lang w:val="en-US"/>
        </w:rPr>
        <w:t>Geographic Location:</w:t>
      </w:r>
      <w:r w:rsidRPr="2C0EBB8B" w:rsidR="71C513D7">
        <w:rPr>
          <w:rFonts w:ascii="Aptos" w:hAnsi="Aptos" w:eastAsia="Aptos" w:cs="Aptos"/>
          <w:noProof w:val="0"/>
          <w:sz w:val="24"/>
          <w:szCs w:val="24"/>
          <w:lang w:val="en-US"/>
        </w:rPr>
        <w:t xml:space="preserve"> Residency in Los Angeles is a strong predictor of higher default risk compared to other regions.</w:t>
      </w:r>
    </w:p>
    <w:p xmlns:wp14="http://schemas.microsoft.com/office/word/2010/wordml" w:rsidP="2C0EBB8B" wp14:paraId="6DD0A8C2" wp14:textId="37C67BFF">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C0EBB8B" w:rsidR="71C513D7">
        <w:rPr>
          <w:rFonts w:ascii="Aptos" w:hAnsi="Aptos" w:eastAsia="Aptos" w:cs="Aptos"/>
          <w:b w:val="1"/>
          <w:bCs w:val="1"/>
          <w:noProof w:val="0"/>
          <w:sz w:val="24"/>
          <w:szCs w:val="24"/>
          <w:lang w:val="en-US"/>
        </w:rPr>
        <w:t>Credit Utilization &gt;30%:</w:t>
      </w:r>
      <w:r w:rsidRPr="2C0EBB8B" w:rsidR="71C513D7">
        <w:rPr>
          <w:rFonts w:ascii="Aptos" w:hAnsi="Aptos" w:eastAsia="Aptos" w:cs="Aptos"/>
          <w:noProof w:val="0"/>
          <w:sz w:val="24"/>
          <w:szCs w:val="24"/>
          <w:lang w:val="en-US"/>
        </w:rPr>
        <w:t xml:space="preserve"> Crossing the 30% utilization threshold is a key early warning sign of financial stress.</w:t>
      </w:r>
    </w:p>
    <w:p xmlns:wp14="http://schemas.microsoft.com/office/word/2010/wordml" w:rsidP="2C0EBB8B" wp14:paraId="0CE08EB4" wp14:textId="09A78665">
      <w:pPr>
        <w:pStyle w:val="Heading3"/>
        <w:spacing w:before="281" w:beforeAutospacing="off" w:after="281" w:afterAutospacing="off"/>
      </w:pPr>
      <w:r w:rsidRPr="2C0EBB8B" w:rsidR="71C513D7">
        <w:rPr>
          <w:rFonts w:ascii="Aptos" w:hAnsi="Aptos" w:eastAsia="Aptos" w:cs="Aptos"/>
          <w:b w:val="1"/>
          <w:bCs w:val="1"/>
          <w:noProof w:val="0"/>
          <w:sz w:val="28"/>
          <w:szCs w:val="28"/>
          <w:lang w:val="en-US"/>
        </w:rPr>
        <w:t>2. Recommendation Framework</w:t>
      </w:r>
    </w:p>
    <w:p xmlns:wp14="http://schemas.microsoft.com/office/word/2010/wordml" w:rsidP="2C0EBB8B" wp14:paraId="46DB3F6D" wp14:textId="1C00A3A9">
      <w:pPr>
        <w:spacing w:before="240" w:beforeAutospacing="off" w:after="240" w:afterAutospacing="off"/>
      </w:pPr>
      <w:r w:rsidRPr="2C0EBB8B" w:rsidR="71C513D7">
        <w:rPr>
          <w:rFonts w:ascii="Aptos" w:hAnsi="Aptos" w:eastAsia="Aptos" w:cs="Aptos"/>
          <w:b w:val="1"/>
          <w:bCs w:val="1"/>
          <w:noProof w:val="0"/>
          <w:sz w:val="24"/>
          <w:szCs w:val="24"/>
          <w:lang w:val="en-US"/>
        </w:rPr>
        <w:t>Strategic Insight:</w:t>
      </w:r>
      <w:r w:rsidRPr="2C0EBB8B" w:rsidR="71C513D7">
        <w:rPr>
          <w:rFonts w:ascii="Aptos" w:hAnsi="Aptos" w:eastAsia="Aptos" w:cs="Aptos"/>
          <w:noProof w:val="0"/>
          <w:sz w:val="24"/>
          <w:szCs w:val="24"/>
          <w:lang w:val="en-US"/>
        </w:rPr>
        <w:t xml:space="preserve"> Risk significantly increases when a customer’s credit utilization exceeds 30%. This is a manageable behavioral trigger that allows for early intervention before a customer reaches a "point of no return."</w:t>
      </w:r>
    </w:p>
    <w:p xmlns:wp14="http://schemas.microsoft.com/office/word/2010/wordml" w:rsidP="2C0EBB8B" wp14:paraId="450DF5E7" wp14:textId="527E758E">
      <w:pPr>
        <w:spacing w:before="240" w:beforeAutospacing="off" w:after="240" w:afterAutospacing="off"/>
      </w:pPr>
      <w:r w:rsidRPr="2C0EBB8B" w:rsidR="71C513D7">
        <w:rPr>
          <w:rFonts w:ascii="Aptos" w:hAnsi="Aptos" w:eastAsia="Aptos" w:cs="Aptos"/>
          <w:b w:val="1"/>
          <w:bCs w:val="1"/>
          <w:noProof w:val="0"/>
          <w:sz w:val="24"/>
          <w:szCs w:val="24"/>
          <w:lang w:val="en-US"/>
        </w:rPr>
        <w:t>SMART Recommendation</w:t>
      </w:r>
    </w:p>
    <w:p xmlns:wp14="http://schemas.microsoft.com/office/word/2010/wordml" w:rsidP="2C0EBB8B" wp14:paraId="7F1C7A6A" wp14:textId="771B0C50">
      <w:pPr>
        <w:spacing w:before="240" w:beforeAutospacing="off" w:after="240" w:afterAutospacing="off"/>
      </w:pPr>
      <w:r w:rsidRPr="2C0EBB8B" w:rsidR="71C513D7">
        <w:rPr>
          <w:rFonts w:ascii="Aptos" w:hAnsi="Aptos" w:eastAsia="Aptos" w:cs="Aptos"/>
          <w:b w:val="1"/>
          <w:bCs w:val="1"/>
          <w:noProof w:val="0"/>
          <w:sz w:val="24"/>
          <w:szCs w:val="24"/>
          <w:lang w:val="en-US"/>
        </w:rPr>
        <w:t>Goal:</w:t>
      </w:r>
      <w:r w:rsidRPr="2C0EBB8B" w:rsidR="71C513D7">
        <w:rPr>
          <w:rFonts w:ascii="Aptos" w:hAnsi="Aptos" w:eastAsia="Aptos" w:cs="Aptos"/>
          <w:noProof w:val="0"/>
          <w:sz w:val="24"/>
          <w:szCs w:val="24"/>
          <w:lang w:val="en-US"/>
        </w:rPr>
        <w:t xml:space="preserve"> Reduce the delinquency rate of customers with &gt;30% credit utilization by </w:t>
      </w:r>
      <w:r w:rsidRPr="2C0EBB8B" w:rsidR="71C513D7">
        <w:rPr>
          <w:rFonts w:ascii="Aptos" w:hAnsi="Aptos" w:eastAsia="Aptos" w:cs="Aptos"/>
          <w:b w:val="1"/>
          <w:bCs w:val="1"/>
          <w:noProof w:val="0"/>
          <w:sz w:val="24"/>
          <w:szCs w:val="24"/>
          <w:lang w:val="en-US"/>
        </w:rPr>
        <w:t>10% within the next two quarters (6 months)</w:t>
      </w:r>
      <w:r w:rsidRPr="2C0EBB8B" w:rsidR="71C513D7">
        <w:rPr>
          <w:rFonts w:ascii="Aptos" w:hAnsi="Aptos" w:eastAsia="Aptos" w:cs="Aptos"/>
          <w:noProof w:val="0"/>
          <w:sz w:val="24"/>
          <w:szCs w:val="24"/>
          <w:lang w:val="en-US"/>
        </w:rPr>
        <w:t>.</w:t>
      </w:r>
    </w:p>
    <w:p xmlns:wp14="http://schemas.microsoft.com/office/word/2010/wordml" w:rsidP="2C0EBB8B" wp14:paraId="0CD6DC86" wp14:textId="1FE48FD4">
      <w:pPr>
        <w:spacing w:before="240" w:beforeAutospacing="off" w:after="240" w:afterAutospacing="off"/>
      </w:pPr>
      <w:r w:rsidRPr="2C0EBB8B" w:rsidR="71C513D7">
        <w:rPr>
          <w:rFonts w:ascii="Aptos" w:hAnsi="Aptos" w:eastAsia="Aptos" w:cs="Aptos"/>
          <w:b w:val="1"/>
          <w:bCs w:val="1"/>
          <w:noProof w:val="0"/>
          <w:sz w:val="24"/>
          <w:szCs w:val="24"/>
          <w:lang w:val="en-US"/>
        </w:rPr>
        <w:t>Action:</w:t>
      </w:r>
      <w:r w:rsidRPr="2C0EBB8B" w:rsidR="71C513D7">
        <w:rPr>
          <w:rFonts w:ascii="Aptos" w:hAnsi="Aptos" w:eastAsia="Aptos" w:cs="Aptos"/>
          <w:noProof w:val="0"/>
          <w:sz w:val="24"/>
          <w:szCs w:val="24"/>
          <w:lang w:val="en-US"/>
        </w:rPr>
        <w:t xml:space="preserve"> Implement an automated "Financial Health Nudge" system that triggers a personalized SMS or app notification when a customer crosses the 30% utilization threshold, offering budget tips or a temporary payment restructuring option.</w:t>
      </w:r>
    </w:p>
    <w:p xmlns:wp14="http://schemas.microsoft.com/office/word/2010/wordml" w:rsidP="2C0EBB8B" wp14:paraId="78969C9B" wp14:textId="5810B6F4">
      <w:pPr>
        <w:spacing w:before="240" w:beforeAutospacing="off" w:after="240" w:afterAutospacing="off"/>
      </w:pPr>
      <w:r w:rsidRPr="2C0EBB8B" w:rsidR="71C513D7">
        <w:rPr>
          <w:rFonts w:ascii="Aptos" w:hAnsi="Aptos" w:eastAsia="Aptos" w:cs="Aptos"/>
          <w:b w:val="1"/>
          <w:bCs w:val="1"/>
          <w:noProof w:val="0"/>
          <w:sz w:val="24"/>
          <w:szCs w:val="24"/>
          <w:lang w:val="en-US"/>
        </w:rPr>
        <w:t>Rationale for Stakeholders</w:t>
      </w:r>
      <w:r w:rsidRPr="2C0EBB8B" w:rsidR="71C513D7">
        <w:rPr>
          <w:rFonts w:ascii="Aptos" w:hAnsi="Aptos" w:eastAsia="Aptos" w:cs="Aptos"/>
          <w:noProof w:val="0"/>
          <w:sz w:val="24"/>
          <w:szCs w:val="24"/>
          <w:lang w:val="en-US"/>
        </w:rPr>
        <w:t xml:space="preserve"> By targeting the 30% utilization mark, we intervene </w:t>
      </w:r>
      <w:r w:rsidRPr="2C0EBB8B" w:rsidR="71C513D7">
        <w:rPr>
          <w:rFonts w:ascii="Aptos" w:hAnsi="Aptos" w:eastAsia="Aptos" w:cs="Aptos"/>
          <w:i w:val="1"/>
          <w:iCs w:val="1"/>
          <w:noProof w:val="0"/>
          <w:sz w:val="24"/>
          <w:szCs w:val="24"/>
          <w:lang w:val="en-US"/>
        </w:rPr>
        <w:t>before</w:t>
      </w:r>
      <w:r w:rsidRPr="2C0EBB8B" w:rsidR="71C513D7">
        <w:rPr>
          <w:rFonts w:ascii="Aptos" w:hAnsi="Aptos" w:eastAsia="Aptos" w:cs="Aptos"/>
          <w:noProof w:val="0"/>
          <w:sz w:val="24"/>
          <w:szCs w:val="24"/>
          <w:lang w:val="en-US"/>
        </w:rPr>
        <w:t xml:space="preserve"> the customer enters severe debt distress. This preventative measure is low-cost, scalable, and directly addresses a proven risk factor, aligning with Geldium’s goal of reducing overall portfolio loss while improving customer retention.</w:t>
      </w:r>
    </w:p>
    <w:p xmlns:wp14="http://schemas.microsoft.com/office/word/2010/wordml" w:rsidP="2C0EBB8B" wp14:paraId="5561E8FA" wp14:textId="5F316A8C">
      <w:pPr>
        <w:pStyle w:val="Heading3"/>
        <w:spacing w:before="281" w:beforeAutospacing="off" w:after="281" w:afterAutospacing="off"/>
      </w:pPr>
      <w:r w:rsidRPr="2C0EBB8B" w:rsidR="71C513D7">
        <w:rPr>
          <w:rFonts w:ascii="Aptos" w:hAnsi="Aptos" w:eastAsia="Aptos" w:cs="Aptos"/>
          <w:b w:val="1"/>
          <w:bCs w:val="1"/>
          <w:noProof w:val="0"/>
          <w:sz w:val="28"/>
          <w:szCs w:val="28"/>
          <w:lang w:val="en-US"/>
        </w:rPr>
        <w:t>3. Ethical and Responsible AI Considerations</w:t>
      </w:r>
    </w:p>
    <w:p xmlns:wp14="http://schemas.microsoft.com/office/word/2010/wordml" w:rsidP="2C0EBB8B" wp14:paraId="2DA3B70F" wp14:textId="027785A7">
      <w:pPr>
        <w:spacing w:before="240" w:beforeAutospacing="off" w:after="240" w:afterAutospacing="off"/>
      </w:pPr>
      <w:r w:rsidRPr="2C0EBB8B" w:rsidR="71C513D7">
        <w:rPr>
          <w:rFonts w:ascii="Aptos" w:hAnsi="Aptos" w:eastAsia="Aptos" w:cs="Aptos"/>
          <w:noProof w:val="0"/>
          <w:sz w:val="24"/>
          <w:szCs w:val="24"/>
          <w:lang w:val="en-US"/>
        </w:rPr>
        <w:t>Implementing predictive models in financial decision-making requires strict adherence to fairness and transparency standards to avoid reputational and regulatory risks.</w:t>
      </w:r>
    </w:p>
    <w:p xmlns:wp14="http://schemas.microsoft.com/office/word/2010/wordml" w:rsidP="2C0EBB8B" wp14:paraId="0A4AA4D7" wp14:textId="3206AFA4">
      <w:pPr>
        <w:spacing w:before="240" w:beforeAutospacing="off" w:after="240" w:afterAutospacing="off"/>
      </w:pPr>
      <w:r w:rsidRPr="2C0EBB8B" w:rsidR="71C513D7">
        <w:rPr>
          <w:rFonts w:ascii="Aptos" w:hAnsi="Aptos" w:eastAsia="Aptos" w:cs="Aptos"/>
          <w:b w:val="1"/>
          <w:bCs w:val="1"/>
          <w:noProof w:val="0"/>
          <w:sz w:val="24"/>
          <w:szCs w:val="24"/>
          <w:lang w:val="en-US"/>
        </w:rPr>
        <w:t>Fairness Risks &amp; Mitigation</w:t>
      </w:r>
    </w:p>
    <w:p xmlns:wp14="http://schemas.microsoft.com/office/word/2010/wordml" w:rsidP="2C0EBB8B" wp14:paraId="07CDA048" wp14:textId="17541F10">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C0EBB8B" w:rsidR="71C513D7">
        <w:rPr>
          <w:rFonts w:ascii="Aptos" w:hAnsi="Aptos" w:eastAsia="Aptos" w:cs="Aptos"/>
          <w:b w:val="1"/>
          <w:bCs w:val="1"/>
          <w:noProof w:val="0"/>
          <w:sz w:val="24"/>
          <w:szCs w:val="24"/>
          <w:lang w:val="en-US"/>
        </w:rPr>
        <w:t>Geographic Bias (Redlining Risk):</w:t>
      </w:r>
      <w:r w:rsidRPr="2C0EBB8B" w:rsidR="71C513D7">
        <w:rPr>
          <w:rFonts w:ascii="Aptos" w:hAnsi="Aptos" w:eastAsia="Aptos" w:cs="Aptos"/>
          <w:noProof w:val="0"/>
          <w:sz w:val="24"/>
          <w:szCs w:val="24"/>
          <w:lang w:val="en-US"/>
        </w:rPr>
        <w:t xml:space="preserve"> Since "Location" (specifically Los Angeles) is a strong predictor, the model might unfairly penalize all applicants from that region.</w:t>
      </w:r>
    </w:p>
    <w:p xmlns:wp14="http://schemas.microsoft.com/office/word/2010/wordml" w:rsidP="2C0EBB8B" wp14:paraId="09F56C06" wp14:textId="75F69B19">
      <w:pPr>
        <w:pStyle w:val="ListParagraph"/>
        <w:numPr>
          <w:ilvl w:val="1"/>
          <w:numId w:val="3"/>
        </w:numPr>
        <w:spacing w:before="240" w:beforeAutospacing="off" w:after="240" w:afterAutospacing="off"/>
        <w:rPr>
          <w:rFonts w:ascii="Aptos" w:hAnsi="Aptos" w:eastAsia="Aptos" w:cs="Aptos"/>
          <w:noProof w:val="0"/>
          <w:sz w:val="24"/>
          <w:szCs w:val="24"/>
          <w:lang w:val="en-US"/>
        </w:rPr>
      </w:pPr>
      <w:r w:rsidRPr="2C0EBB8B" w:rsidR="71C513D7">
        <w:rPr>
          <w:rFonts w:ascii="Aptos" w:hAnsi="Aptos" w:eastAsia="Aptos" w:cs="Aptos"/>
          <w:i w:val="1"/>
          <w:iCs w:val="1"/>
          <w:noProof w:val="0"/>
          <w:sz w:val="24"/>
          <w:szCs w:val="24"/>
          <w:lang w:val="en-US"/>
        </w:rPr>
        <w:t>Mitigation:</w:t>
      </w:r>
      <w:r w:rsidRPr="2C0EBB8B" w:rsidR="71C513D7">
        <w:rPr>
          <w:rFonts w:ascii="Aptos" w:hAnsi="Aptos" w:eastAsia="Aptos" w:cs="Aptos"/>
          <w:noProof w:val="0"/>
          <w:sz w:val="24"/>
          <w:szCs w:val="24"/>
          <w:lang w:val="en-US"/>
        </w:rPr>
        <w:t xml:space="preserve"> We will regularly test the model for "Demographic Parity" to ensure approval and intervention rates are balanced across regions, and ensure location is used only as a risk </w:t>
      </w:r>
      <w:r w:rsidRPr="2C0EBB8B" w:rsidR="71C513D7">
        <w:rPr>
          <w:rFonts w:ascii="Aptos" w:hAnsi="Aptos" w:eastAsia="Aptos" w:cs="Aptos"/>
          <w:i w:val="1"/>
          <w:iCs w:val="1"/>
          <w:noProof w:val="0"/>
          <w:sz w:val="24"/>
          <w:szCs w:val="24"/>
          <w:lang w:val="en-US"/>
        </w:rPr>
        <w:t>indicator</w:t>
      </w:r>
      <w:r w:rsidRPr="2C0EBB8B" w:rsidR="71C513D7">
        <w:rPr>
          <w:rFonts w:ascii="Aptos" w:hAnsi="Aptos" w:eastAsia="Aptos" w:cs="Aptos"/>
          <w:noProof w:val="0"/>
          <w:sz w:val="24"/>
          <w:szCs w:val="24"/>
          <w:lang w:val="en-US"/>
        </w:rPr>
        <w:t xml:space="preserve">, not a sole </w:t>
      </w:r>
      <w:r w:rsidRPr="2C0EBB8B" w:rsidR="71C513D7">
        <w:rPr>
          <w:rFonts w:ascii="Aptos" w:hAnsi="Aptos" w:eastAsia="Aptos" w:cs="Aptos"/>
          <w:i w:val="1"/>
          <w:iCs w:val="1"/>
          <w:noProof w:val="0"/>
          <w:sz w:val="24"/>
          <w:szCs w:val="24"/>
          <w:lang w:val="en-US"/>
        </w:rPr>
        <w:t>disqualifier</w:t>
      </w:r>
      <w:r w:rsidRPr="2C0EBB8B" w:rsidR="71C513D7">
        <w:rPr>
          <w:rFonts w:ascii="Aptos" w:hAnsi="Aptos" w:eastAsia="Aptos" w:cs="Aptos"/>
          <w:noProof w:val="0"/>
          <w:sz w:val="24"/>
          <w:szCs w:val="24"/>
          <w:lang w:val="en-US"/>
        </w:rPr>
        <w:t>.</w:t>
      </w:r>
    </w:p>
    <w:p xmlns:wp14="http://schemas.microsoft.com/office/word/2010/wordml" w:rsidP="2C0EBB8B" wp14:paraId="13EB51E0" wp14:textId="433210BF">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C0EBB8B" w:rsidR="71C513D7">
        <w:rPr>
          <w:rFonts w:ascii="Aptos" w:hAnsi="Aptos" w:eastAsia="Aptos" w:cs="Aptos"/>
          <w:b w:val="1"/>
          <w:bCs w:val="1"/>
          <w:noProof w:val="0"/>
          <w:sz w:val="24"/>
          <w:szCs w:val="24"/>
          <w:lang w:val="en-US"/>
        </w:rPr>
        <w:t>Age Discrimination:</w:t>
      </w:r>
      <w:r w:rsidRPr="2C0EBB8B" w:rsidR="71C513D7">
        <w:rPr>
          <w:rFonts w:ascii="Aptos" w:hAnsi="Aptos" w:eastAsia="Aptos" w:cs="Aptos"/>
          <w:noProof w:val="0"/>
          <w:sz w:val="24"/>
          <w:szCs w:val="24"/>
          <w:lang w:val="en-US"/>
        </w:rPr>
        <w:t xml:space="preserve"> The model identifies the 46-60 age group as high risk, which could lead to unfair credit tightening for middle-aged borrowers.</w:t>
      </w:r>
    </w:p>
    <w:p xmlns:wp14="http://schemas.microsoft.com/office/word/2010/wordml" w:rsidP="2C0EBB8B" wp14:paraId="7D870875" wp14:textId="634D7C5D">
      <w:pPr>
        <w:pStyle w:val="ListParagraph"/>
        <w:numPr>
          <w:ilvl w:val="1"/>
          <w:numId w:val="3"/>
        </w:numPr>
        <w:spacing w:before="240" w:beforeAutospacing="off" w:after="240" w:afterAutospacing="off"/>
        <w:rPr>
          <w:rFonts w:ascii="Aptos" w:hAnsi="Aptos" w:eastAsia="Aptos" w:cs="Aptos"/>
          <w:noProof w:val="0"/>
          <w:sz w:val="24"/>
          <w:szCs w:val="24"/>
          <w:lang w:val="en-US"/>
        </w:rPr>
      </w:pPr>
      <w:r w:rsidRPr="2C0EBB8B" w:rsidR="71C513D7">
        <w:rPr>
          <w:rFonts w:ascii="Aptos" w:hAnsi="Aptos" w:eastAsia="Aptos" w:cs="Aptos"/>
          <w:i w:val="1"/>
          <w:iCs w:val="1"/>
          <w:noProof w:val="0"/>
          <w:sz w:val="24"/>
          <w:szCs w:val="24"/>
          <w:lang w:val="en-US"/>
        </w:rPr>
        <w:t>Mitigation:</w:t>
      </w:r>
      <w:r w:rsidRPr="2C0EBB8B" w:rsidR="71C513D7">
        <w:rPr>
          <w:rFonts w:ascii="Aptos" w:hAnsi="Aptos" w:eastAsia="Aptos" w:cs="Aptos"/>
          <w:noProof w:val="0"/>
          <w:sz w:val="24"/>
          <w:szCs w:val="24"/>
          <w:lang w:val="en-US"/>
        </w:rPr>
        <w:t xml:space="preserve"> We will apply "Equal Opportunity" constraints during model training to ensure that reliable borrowers in this age group are not incorrectly flagged as risky (False Positives) at a higher rate than other age groups.</w:t>
      </w:r>
    </w:p>
    <w:p xmlns:wp14="http://schemas.microsoft.com/office/word/2010/wordml" w:rsidP="2C0EBB8B" wp14:paraId="434CAD68" wp14:textId="0A267C73">
      <w:pPr>
        <w:spacing w:before="240" w:beforeAutospacing="off" w:after="240" w:afterAutospacing="off"/>
      </w:pPr>
      <w:r w:rsidRPr="2C0EBB8B" w:rsidR="71C513D7">
        <w:rPr>
          <w:rFonts w:ascii="Aptos" w:hAnsi="Aptos" w:eastAsia="Aptos" w:cs="Aptos"/>
          <w:b w:val="1"/>
          <w:bCs w:val="1"/>
          <w:noProof w:val="0"/>
          <w:sz w:val="24"/>
          <w:szCs w:val="24"/>
          <w:lang w:val="en-US"/>
        </w:rPr>
        <w:t>Explaining Predictions to Non-Technical Stakeholders</w:t>
      </w:r>
      <w:r w:rsidRPr="2C0EBB8B" w:rsidR="71C513D7">
        <w:rPr>
          <w:rFonts w:ascii="Aptos" w:hAnsi="Aptos" w:eastAsia="Aptos" w:cs="Aptos"/>
          <w:noProof w:val="0"/>
          <w:sz w:val="24"/>
          <w:szCs w:val="24"/>
          <w:lang w:val="en-US"/>
        </w:rPr>
        <w:t xml:space="preserve"> When explaining why a customer was flagged as "High Risk," we will avoid technical jargon like "probability scores" or "coefficients." Instead, we will use </w:t>
      </w:r>
      <w:r w:rsidRPr="2C0EBB8B" w:rsidR="71C513D7">
        <w:rPr>
          <w:rFonts w:ascii="Aptos" w:hAnsi="Aptos" w:eastAsia="Aptos" w:cs="Aptos"/>
          <w:b w:val="1"/>
          <w:bCs w:val="1"/>
          <w:noProof w:val="0"/>
          <w:sz w:val="24"/>
          <w:szCs w:val="24"/>
          <w:lang w:val="en-US"/>
        </w:rPr>
        <w:t>plain language explanations</w:t>
      </w:r>
      <w:r w:rsidRPr="2C0EBB8B" w:rsidR="71C513D7">
        <w:rPr>
          <w:rFonts w:ascii="Aptos" w:hAnsi="Aptos" w:eastAsia="Aptos" w:cs="Aptos"/>
          <w:noProof w:val="0"/>
          <w:sz w:val="24"/>
          <w:szCs w:val="24"/>
          <w:lang w:val="en-US"/>
        </w:rPr>
        <w:t xml:space="preserve"> based on the contributing factors.</w:t>
      </w:r>
    </w:p>
    <w:p xmlns:wp14="http://schemas.microsoft.com/office/word/2010/wordml" w:rsidP="2C0EBB8B" wp14:paraId="7ECBDA3E" wp14:textId="2A7D51A6">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C0EBB8B" w:rsidR="71C513D7">
        <w:rPr>
          <w:rFonts w:ascii="Aptos" w:hAnsi="Aptos" w:eastAsia="Aptos" w:cs="Aptos"/>
          <w:i w:val="1"/>
          <w:iCs w:val="1"/>
          <w:noProof w:val="0"/>
          <w:sz w:val="24"/>
          <w:szCs w:val="24"/>
          <w:lang w:val="en-US"/>
        </w:rPr>
        <w:t>Example:</w:t>
      </w:r>
      <w:r w:rsidRPr="2C0EBB8B" w:rsidR="71C513D7">
        <w:rPr>
          <w:rFonts w:ascii="Aptos" w:hAnsi="Aptos" w:eastAsia="Aptos" w:cs="Aptos"/>
          <w:noProof w:val="0"/>
          <w:sz w:val="24"/>
          <w:szCs w:val="24"/>
          <w:lang w:val="en-US"/>
        </w:rPr>
        <w:t xml:space="preserve"> "This account was flagged for review because the customer is utilizing a significant portion of their credit limit (over 30%) and resides in a region currently showing higher-than-average economic stress."</w:t>
      </w:r>
    </w:p>
    <w:p xmlns:wp14="http://schemas.microsoft.com/office/word/2010/wordml" wp14:paraId="2C078E63" wp14:textId="41647C5B"/>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3b4e6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ce5c0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fa4ed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d6e07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B012AF"/>
    <w:rsid w:val="12B012AF"/>
    <w:rsid w:val="2C0EBB8B"/>
    <w:rsid w:val="71C51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634FF"/>
  <w15:chartTrackingRefBased/>
  <w15:docId w15:val="{BD2C58C9-76F1-4DC4-8421-DE6CEA44908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2C0EBB8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C0EBB8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e6cbed78bbd470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2025-12-09T12:05:30.7528662Z</dcterms:created>
  <dcterms:modified xsi:type="dcterms:W3CDTF">2025-12-09T12:06:11.2810138Z</dcterms:modified>
  <dc:creator>Mohammed Saqlain</dc:creator>
  <lastModifiedBy>Mohammed Saqlain</lastModifiedBy>
</coreProperties>
</file>