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6284C"/>
          <w:sz w:val="60"/>
          <w:szCs w:val="60"/>
        </w:rPr>
        <w:t xml:space="preserve">SOLIX EDG</w:t>
      </w:r>
    </w:p>
    <w:p>
      <w:pPr>
        <w:spacing w:after="80"/>
        <w:jc w:val="center"/>
      </w:pPr>
      <w:r>
        <w:rPr>
          <w:b/>
          <w:bCs/>
          <w:color w:val="C75B12"/>
          <w:sz w:val="32"/>
          <w:szCs w:val="32"/>
        </w:rPr>
        <w:t xml:space="preserve">Architecture Overview</w:t>
      </w:r>
    </w:p>
    <w:p>
      <w:pPr>
        <w:spacing w:after="360"/>
        <w:jc w:val="center"/>
      </w:pPr>
      <w:r>
        <w:rPr>
          <w:i/>
          <w:iCs/>
          <w:color w:val="55627A"/>
          <w:sz w:val="20"/>
          <w:szCs w:val="20"/>
        </w:rPr>
        <w:t xml:space="preserve">Conceptual architecture, described from components present in the prototype</w:t>
      </w:r>
    </w:p>
    <w:p>
      <w:pPr>
        <w:spacing w:after="30"/>
        <w:jc w:val="center"/>
      </w:pPr>
      <w:r>
        <w:rPr>
          <w:sz w:val="20"/>
          <w:szCs w:val="20"/>
        </w:rPr>
        <w:t xml:space="preserve">Version 1.0  ·  June 2026</w:t>
      </w:r>
    </w:p>
    <w:p>
      <w:pPr>
        <w:jc w:val="center"/>
      </w:pPr>
      <w:r>
        <w:rPr>
          <w:color w:val="55627A"/>
          <w:sz w:val="18"/>
          <w:szCs w:val="18"/>
        </w:rPr>
        <w:t xml:space="preserve">Confidential — Solix Technologies, Inc.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spacing w:after="130"/>
      </w:pPr>
      <w:r>
        <w:t xml:space="preserve">This is a conceptual architecture, described from components that exist in the prototype. It explains how data flows from connected sources into a governed, trusted, consumable state. Deployment topology, physical storage, and security / network architecture are not specified in the prototype source and are called out in Assumptions &amp; Gaps.</w:t>
      </w:r>
    </w:p>
    <w:p>
      <w:pPr>
        <w:spacing w:after="130"/>
      </w:pPr>
      <w:r>
        <w:t xml:space="preserve">The platform is organized into cooperating layers. Sources feed the catalog through the connectivity layer; the governance &amp; policy layer operates over the catalogued assets; the experience &amp; access layer scopes what each role can see and do; and the audit layer records every consequential action across all of them.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Sources  —  governed in place, no data movement</w:t>
            </w:r>
          </w:p>
        </w:tc>
      </w:tr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1F6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color w:val="1A2233"/>
                <w:sz w:val="18"/>
                <w:szCs w:val="18"/>
              </w:rPr>
              <w:t xml:space="preserve">Cloud warehouses (Snowflake · Databricks · BigQuery)   ·   Databases (Oracle · PostgreSQL · MySQL)   ·   Cloud storage (Amazon S3 · Azure Blob)   ·   Transformation (dbt · ETL / Airflow)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Connectivity Layer  —  scheduled / on-demand</w:t>
            </w:r>
          </w:p>
        </w:tc>
      </w:tr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1F6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color w:val="1A2233"/>
                <w:sz w:val="18"/>
                <w:szCs w:val="18"/>
              </w:rPr>
              <w:t xml:space="preserve">Metadata &amp; schema scan   ·   Lineage &amp; profile capture   ·   Classification sync (bi-directional)   ·   Scheduled / on-demand ingestion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③ Metadata Catalog  —  central searchable inventory</w:t>
            </w:r>
          </w:p>
        </w:tc>
      </w:tr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1F6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color w:val="1A2233"/>
                <w:sz w:val="18"/>
                <w:szCs w:val="18"/>
              </w:rPr>
              <w:t xml:space="preserve">Asset hierarchy (db → schema → table/view; bucket → object)   ·   Lineage graph (asset + column)   ·   Quality results   ·   Classifications / tags   ·   Certification status   ·   Business glossary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④ Governance &amp; Policy Layer  —  operates over the catalog</w:t>
            </w:r>
          </w:p>
        </w:tc>
      </w:tr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1F6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color w:val="1A2233"/>
                <w:sz w:val="18"/>
                <w:szCs w:val="18"/>
              </w:rPr>
              <w:t xml:space="preserve">Domains &amp; Data Products   ·   Classification &amp; propagation   ·   Data Quality (rules · suites · incidents)   ·   Policies → Rules (conformity · violations)   ·   Regulations &amp; Compliance   ·   Certification lifecycle   ·   Stewardship workflows</w:t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⑤ Experience &amp; Access Layer  —  RBAC + role-based UI</w:t>
            </w:r>
          </w:p>
        </w:tc>
      </w:tr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1F6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color w:val="1A2233"/>
                <w:sz w:val="18"/>
                <w:szCs w:val="18"/>
              </w:rPr>
              <w:t xml:space="preserve">RBAC roles (Steward scoped by domain)   ·   Role-based navigation &amp; widgets   ·   Search · Catalog · Lineage interfaces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C75B1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⑥ Audit Layer  —  tamper-evident activity history</w:t>
            </w:r>
          </w:p>
        </w:tc>
      </w:tr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1F6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color w:val="1A2233"/>
                <w:sz w:val="18"/>
                <w:szCs w:val="18"/>
              </w:rPr>
              <w:t xml:space="preserve">Records every consequential action across the Catalog, Governance &amp; Policy, and Experience layers — spanning assets · domains · data products · policies · terms · certifications · tags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prototype components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Read metadata, lineage, profiles, and usage from sources on a schedule or on demand — governing data in place without moving it. Sync classifications bi-directionally (source ↔ EDG) with conflict detection.</w:t>
            </w:r>
          </w:p>
        </w:tc>
        <w:tc>
          <w:tcPr>
            <w:tcW w:type="dxa" w:w="3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Connectors for Snowflake, Databricks, BigQuery, dbt, Oracle, PostgreSQL, MySQL, S3, Azure Blob; sync status, name-mapping, conflict rules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Metadata Catalog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The central, searchable inventory of assets and everything known about them — the single source the governance layer reads from and writes to.</w:t>
            </w:r>
          </w:p>
        </w:tc>
        <w:tc>
          <w:tcPr>
            <w:tcW w:type="dxa" w:w="3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 hierarchy (db→schema→table/view; bucket→folder→object), lineage graph, quality results, classifications, certification status, glossary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Governance &amp; Policy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Apply structure, control, and trust over catalogued assets: organize and own them, classify them, measure quality, evaluate policy, certify, and drive stewardship work.</w:t>
            </w:r>
          </w:p>
        </w:tc>
        <w:tc>
          <w:tcPr>
            <w:tcW w:type="dxa" w:w="3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Domains, Data Products, Tags + propagation, Quality rules/suites/incidents, Policies/Rules, Regulations/Compliance, Certifications, Stewardship tasks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Experience &amp; Access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Govern who may see and act on assets, scoped by domain, and present the right surfaces per role.</w:t>
            </w:r>
          </w:p>
        </w:tc>
        <w:tc>
          <w:tcPr>
            <w:tcW w:type="dxa" w:w="3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RBAC role profiles, role-based navigation and home widgets, Search/Catalog/Lineage interfaces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Audit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 tamper-evident activity history of every consequential change, with actor, timestamp, and before/after detail.</w:t>
            </w:r>
          </w:p>
        </w:tc>
        <w:tc>
          <w:tcPr>
            <w:tcW w:type="dxa" w:w="3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Audit logs and activity timelines on assets, domains, data products, policies, terms, certifications, tags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Functional Data Flow</w:t>
      </w:r>
    </w:p>
    <w:p>
      <w:pPr>
        <w:spacing w:after="130"/>
      </w:pPr>
      <w:r>
        <w:t xml:space="preserve">How a single asset moves from raw to trusted and consumable. Branches for quality and for unmet certification criteria are noted alongside the main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7600"/>
        <w:gridCol w:w="880"/>
      </w:tblGrid>
      <w:tr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tcBorders>
                    <w:top w:val="single" w:color="C9D4E0" w:sz="1"/>
                    <w:left w:val="single" w:color="C9D4E0" w:sz="1"/>
                    <w:bottom w:val="single" w:color="C9D4E0" w:sz="1"/>
                    <w:right w:val="single" w:color="C9D4E0" w:sz="1"/>
                  </w:tcBorders>
                  <w:shd w:fill="F1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2233"/>
                      <w:sz w:val="19"/>
                      <w:szCs w:val="19"/>
                    </w:rPr>
                    <w:t xml:space="preserve">Source asset</w:t>
                  </w:r>
                  <w:r>
                    <w:rPr>
                      <w:color w:val="55627A"/>
                      <w:sz w:val="15"/>
                      <w:szCs w:val="15"/>
                    </w:rPr>
                    <w:br/>
                    <w:t xml:space="preserve">
table / object</w:t>
                  </w:r>
                </w:p>
              </w:tc>
            </w:tr>
          </w:tbl>
          <w:p/>
        </w:tc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7600"/>
        <w:gridCol w:w="880"/>
      </w:tblGrid>
      <w:tr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tcBorders>
                    <w:top w:val="single" w:color="C9D4E0" w:sz="1"/>
                    <w:left w:val="single" w:color="C9D4E0" w:sz="1"/>
                    <w:bottom w:val="single" w:color="C9D4E0" w:sz="1"/>
                    <w:right w:val="single" w:color="C9D4E0" w:sz="1"/>
                  </w:tcBorders>
                  <w:shd w:fill="F1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2233"/>
                      <w:sz w:val="19"/>
                      <w:szCs w:val="19"/>
                    </w:rPr>
                    <w:t xml:space="preserve">Catalogued + profiled</w:t>
                  </w:r>
                  <w:r>
                    <w:rPr>
                      <w:color w:val="55627A"/>
                      <w:sz w:val="15"/>
                      <w:szCs w:val="15"/>
                    </w:rPr>
                    <w:br/>
                    <w:t xml:space="preserve">
connector scan reads metadata, lineage, profile</w:t>
                  </w:r>
                </w:p>
              </w:tc>
            </w:tr>
          </w:tbl>
          <w:p/>
        </w:tc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7600"/>
        <w:gridCol w:w="880"/>
      </w:tblGrid>
      <w:tr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tcBorders>
                    <w:top w:val="single" w:color="C9D4E0" w:sz="1"/>
                    <w:left w:val="single" w:color="C9D4E0" w:sz="1"/>
                    <w:bottom w:val="single" w:color="C9D4E0" w:sz="1"/>
                    <w:right w:val="single" w:color="C9D4E0" w:sz="1"/>
                  </w:tcBorders>
                  <w:shd w:fill="F1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2233"/>
                      <w:sz w:val="19"/>
                      <w:szCs w:val="19"/>
                    </w:rPr>
                    <w:t xml:space="preserve">Classified</w:t>
                  </w:r>
                  <w:r>
                    <w:rPr>
                      <w:color w:val="55627A"/>
                      <w:sz w:val="15"/>
                      <w:szCs w:val="15"/>
                    </w:rPr>
                    <w:br/>
                    <w:t xml:space="preserve">
tags synced from source / propagated along lineage &amp; hierarchy</w:t>
                  </w:r>
                </w:p>
              </w:tc>
            </w:tr>
          </w:tbl>
          <w:p/>
        </w:tc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30"/>
      </w:pPr>
      <w:r>
        <w:rPr>
          <w:i/>
          <w:iCs/>
          <w:color w:val="55627A"/>
          <w:sz w:val="18"/>
          <w:szCs w:val="18"/>
        </w:rPr>
        <w:t xml:space="preserve">   ↳ In parallel: quality suites run → a Quality score and any Incidents are recorded.</w:t>
      </w:r>
    </w:p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7600"/>
        <w:gridCol w:w="880"/>
      </w:tblGrid>
      <w:tr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tcBorders>
                    <w:top w:val="single" w:color="C9D4E0" w:sz="1"/>
                    <w:left w:val="single" w:color="C9D4E0" w:sz="1"/>
                    <w:bottom w:val="single" w:color="C9D4E0" w:sz="1"/>
                    <w:right w:val="single" w:color="C9D4E0" w:sz="1"/>
                  </w:tcBorders>
                  <w:shd w:fill="F1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2233"/>
                      <w:sz w:val="19"/>
                      <w:szCs w:val="19"/>
                    </w:rPr>
                    <w:t xml:space="preserve">Policy evaluation</w:t>
                  </w:r>
                  <w:r>
                    <w:rPr>
                      <w:color w:val="55627A"/>
                      <w:sz w:val="15"/>
                      <w:szCs w:val="15"/>
                    </w:rPr>
                    <w:br/>
                    <w:t xml:space="preserve">
policies in scope evaluated → Conformity score + Violations</w:t>
                  </w:r>
                </w:p>
              </w:tc>
            </w:tr>
          </w:tbl>
          <w:p/>
        </w:tc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7600"/>
        <w:gridCol w:w="880"/>
      </w:tblGrid>
      <w:tr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tcBorders>
                    <w:top w:val="single" w:color="C9D4E0" w:sz="1"/>
                    <w:left w:val="single" w:color="C9D4E0" w:sz="1"/>
                    <w:bottom w:val="single" w:color="C9D4E0" w:sz="1"/>
                    <w:right w:val="single" w:color="C9D4E0" w:sz="1"/>
                  </w:tcBorders>
                  <w:shd w:fill="243D6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Certification gate</w:t>
                  </w:r>
                  <w:r>
                    <w:rPr>
                      <w:color w:val="FFFFFF"/>
                      <w:sz w:val="15"/>
                      <w:szCs w:val="15"/>
                    </w:rPr>
                    <w:br/>
                    <w:t xml:space="preserve">
criteria checked: documentation · classification · verified lineage · passing quality · assigned owner</w:t>
                  </w:r>
                </w:p>
              </w:tc>
            </w:tr>
          </w:tbl>
          <w:p/>
        </w:tc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130"/>
      </w:pPr>
      <w:r>
        <w:rPr>
          <w:i/>
          <w:iCs/>
          <w:color w:val="55627A"/>
          <w:sz w:val="18"/>
          <w:szCs w:val="18"/>
        </w:rPr>
        <w:t xml:space="preserve">   ✓ Criteria met → Certified (trusted).      ✗ Not met → a Stewardship task is raised; once the steward resolves it, the asset returns to the certification gate.</w:t>
      </w:r>
    </w:p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7600"/>
        <w:gridCol w:w="880"/>
      </w:tblGrid>
      <w:tr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tcBorders>
                    <w:top w:val="single" w:color="C9D4E0" w:sz="1"/>
                    <w:left w:val="single" w:color="C9D4E0" w:sz="1"/>
                    <w:bottom w:val="single" w:color="C9D4E0" w:sz="1"/>
                    <w:right w:val="single" w:color="C9D4E0" w:sz="1"/>
                  </w:tcBorders>
                  <w:shd w:fill="F1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6284C"/>
                      <w:sz w:val="19"/>
                      <w:szCs w:val="19"/>
                    </w:rPr>
                    <w:t xml:space="preserve">Certified ✓ (trusted)</w:t>
                  </w:r>
                </w:p>
              </w:tc>
            </w:tr>
          </w:tbl>
          <w:p/>
        </w:tc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7600"/>
        <w:gridCol w:w="880"/>
      </w:tblGrid>
      <w:tr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tcBorders>
                    <w:top w:val="single" w:color="C9D4E0" w:sz="1"/>
                    <w:left w:val="single" w:color="C9D4E0" w:sz="1"/>
                    <w:bottom w:val="single" w:color="C9D4E0" w:sz="1"/>
                    <w:right w:val="single" w:color="C9D4E0" w:sz="1"/>
                  </w:tcBorders>
                  <w:shd w:fill="F1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2233"/>
                      <w:sz w:val="19"/>
                      <w:szCs w:val="19"/>
                    </w:rPr>
                    <w:t xml:space="preserve">Bundled into a Data Product</w:t>
                  </w:r>
                  <w:r>
                    <w:rPr>
                      <w:color w:val="55627A"/>
                      <w:sz w:val="15"/>
                      <w:szCs w:val="15"/>
                    </w:rPr>
                    <w:br/>
                    <w:t xml:space="preserve">
exposed via defined input / output ports</w:t>
                  </w:r>
                </w:p>
              </w:tc>
            </w:tr>
          </w:tbl>
          <w:p/>
        </w:tc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30" w:before="30"/>
        <w:jc w:val="center"/>
      </w:pPr>
      <w:r>
        <w:rPr>
          <w:b/>
          <w:bCs/>
          <w:color w:val="C75B12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7600"/>
        <w:gridCol w:w="880"/>
      </w:tblGrid>
      <w:tr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tcBorders>
                    <w:top w:val="single" w:color="C9D4E0" w:sz="1"/>
                    <w:left w:val="single" w:color="C9D4E0" w:sz="1"/>
                    <w:bottom w:val="single" w:color="C9D4E0" w:sz="1"/>
                    <w:right w:val="single" w:color="C9D4E0" w:sz="1"/>
                  </w:tcBorders>
                  <w:shd w:fill="F1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2233"/>
                      <w:sz w:val="19"/>
                      <w:szCs w:val="19"/>
                    </w:rPr>
                    <w:t xml:space="preserve">Consumed</w:t>
                  </w:r>
                  <w:r>
                    <w:rPr>
                      <w:color w:val="55627A"/>
                      <w:sz w:val="15"/>
                      <w:szCs w:val="15"/>
                    </w:rPr>
                    <w:br/>
                    <w:t xml:space="preserve">
discovered and used by authorized roles</w:t>
                  </w:r>
                </w:p>
              </w:tc>
            </w:tr>
          </w:tbl>
          <w:p/>
        </w:tc>
        <w:tc>
          <w:tcPr>
            <w:tcW w:type="dxa" w:w="8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30"/>
      </w:pPr>
      <w:r>
        <w:rPr>
          <w:b/>
          <w:bCs/>
          <w:color w:val="C75B12"/>
        </w:rPr>
        <w:t xml:space="preserve">Every transition above is written to the Audit Layer with actor, timestamp, and before/after detail.</w:t>
      </w:r>
    </w:p>
    <w:p>
      <w:r>
        <w:br w:type="page"/>
      </w:r>
    </w:p>
    <w:p>
      <w:pPr>
        <w:pStyle w:val="Heading2"/>
      </w:pPr>
      <w:r>
        <w:t xml:space="preserve">Object Relationship Model</w:t>
      </w:r>
    </w:p>
    <w:p>
      <w:pPr>
        <w:spacing w:after="130"/>
      </w:pPr>
      <w:r>
        <w:t xml:space="preserve">The objects the layers operate on, and how they relate.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62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Related object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organizes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Assets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contains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Data Products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Data Product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bundles (input / output ports)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Assets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Data Product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consumes / provides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Data Product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lineage + hierarchy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classified by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Tag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Tag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propagates to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Tag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Policy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enforced by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Policy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evaluated against (scope)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Assets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Policy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maps to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Regulation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measured by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Quality Rule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Quality Rule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raises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Incident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certified by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Certification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Glossary Term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defines / linked to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Glossary Term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certified by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Certification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Stewardship Task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scoped to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RBAC Role (Steward)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scoped by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Audit Log</w:t>
            </w:r>
          </w:p>
        </w:tc>
        <w:tc>
          <w:tcPr>
            <w:tcW w:type="dxa" w:w="3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records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2233"/>
                <w:sz w:val="18"/>
                <w:szCs w:val="18"/>
              </w:rPr>
              <w:t xml:space="preserve">Assets · Policies · Terms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Architectural Principles (as evidenced by the prototype)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Govern in place — </w:t>
      </w:r>
      <w:r>
        <w:t xml:space="preserve">connectors read metadata, lineage, profiles, and usage — the platform never moves or copies the underlying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Catalog as the single source of truth — </w:t>
      </w:r>
      <w:r>
        <w:t xml:space="preserve">every governance function reads from and writes back to one searchable inventory; nothing operates on a private copy.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Classification drives control — </w:t>
      </w:r>
      <w:r>
        <w:t xml:space="preserve">tags — synced, manual, or propagated along lineage / hierarchy — are what bind assets to the policies and regulations that apply to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Computed, not asserted, compliance — </w:t>
      </w:r>
      <w:r>
        <w:t xml:space="preserve">conformity scores, violations, and quality scores are evaluated against real catalogued state and roll up into regulation-level posture.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Trust is gated — </w:t>
      </w:r>
      <w:r>
        <w:t xml:space="preserve">certification is granted only when documentation, classification, lineage, quality, and ownership criteria are met.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Access scoped by business structure — </w:t>
      </w:r>
      <w:r>
        <w:t xml:space="preserve">role-based access governs who may act, and the steward role is bound to a domain — the same unit that owns the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Everything is auditable — </w:t>
      </w:r>
      <w:r>
        <w:t xml:space="preserve">each consequential change across assets, domains, products, policies, and terms is recorded with actor, time, and before/after detail.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Assumptions &amp; Gaps</w:t>
      </w:r>
    </w:p>
    <w:p>
      <w:pPr>
        <w:spacing w:after="130"/>
      </w:pPr>
      <w:r>
        <w:t xml:space="preserve">The following are not specified in the prototype source and are shown here as the conceptual model only: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Deployment topology — </w:t>
      </w:r>
      <w:r>
        <w:t xml:space="preserve">SaaS vs. self-hosted, region, multi-tenancy, scaling, and high availability are undefined.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Physical storage — </w:t>
      </w:r>
      <w:r>
        <w:t xml:space="preserve">where catalog metadata, audit logs, and indexes physically persist (the prototype uses in-memory sample data).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Security architecture — </w:t>
      </w:r>
      <w:r>
        <w:t xml:space="preserve">authentication / SSO, network boundaries, encryption at rest and in transit, secrets handling, and the connector credential / permission model are not modeled.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Audit immutability — </w:t>
      </w:r>
      <w:r>
        <w:t xml:space="preserve">described as tamper-evident, but the backing store and retention guarantees are unspecified.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Ingestion engine — </w:t>
      </w:r>
      <w:r>
        <w:t xml:space="preserve">scheduling, orchestration, throughput, and failure / retry semantics behind the connectors are conceptual.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27A"/>
        <w:sz w:val="16"/>
        <w:szCs w:val="16"/>
      </w:rPr>
      <w:t xml:space="preserve">Confidential  ·  Solix Technologies, Inc.   |   Page </w:t>
    </w:r>
    <w:r>
      <w:rPr>
        <w:color w:val="5562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627A"/>
        <w:sz w:val="16"/>
        <w:szCs w:val="16"/>
      </w:rPr>
      <w:t xml:space="preserve">Solix EDG —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16284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62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Solix EDG — Architecture Overview</dc:title>
  <dc:creator>Solix Technologies</dc:creator>
  <cp:lastModifiedBy>Un-named</cp:lastModifiedBy>
  <cp:revision>1</cp:revision>
  <dcterms:created xsi:type="dcterms:W3CDTF">2026-06-04T13:04:29.116Z</dcterms:created>
  <dcterms:modified xsi:type="dcterms:W3CDTF">2026-06-04T13:04:29.128Z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