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b/>
          <w:bCs/>
          <w:color w:val="16284C"/>
          <w:sz w:val="64"/>
          <w:szCs w:val="64"/>
        </w:rPr>
        <w:t xml:space="preserve">SOLIX EDG</w:t>
      </w:r>
    </w:p>
    <w:p>
      <w:pPr>
        <w:spacing w:after="80"/>
        <w:jc w:val="center"/>
      </w:pPr>
      <w:r>
        <w:rPr>
          <w:b/>
          <w:bCs/>
          <w:color w:val="C75B12"/>
          <w:sz w:val="34"/>
          <w:szCs w:val="34"/>
        </w:rPr>
        <w:t xml:space="preserve">Enterprise Data Governance</w:t>
      </w:r>
    </w:p>
    <w:p>
      <w:pPr>
        <w:spacing w:after="40"/>
        <w:jc w:val="center"/>
      </w:pPr>
      <w:r>
        <w:rPr>
          <w:color w:val="1A2233"/>
          <w:sz w:val="26"/>
          <w:szCs w:val="26"/>
        </w:rPr>
        <w:t xml:space="preserve">Product Definition Document — Leadership Edition</w:t>
      </w:r>
    </w:p>
    <w:p>
      <w:pPr>
        <w:spacing w:after="360"/>
        <w:jc w:val="center"/>
      </w:pPr>
      <w:r>
        <w:rPr>
          <w:i/>
          <w:iCs/>
          <w:color w:val="55627A"/>
          <w:sz w:val="20"/>
          <w:szCs w:val="20"/>
        </w:rPr>
        <w:t xml:space="preserve">For executive, product, sales, and solutions audiences</w:t>
      </w:r>
    </w:p>
    <w:p>
      <w:pPr>
        <w:spacing w:after="30"/>
        <w:jc w:val="center"/>
      </w:pPr>
      <w:r>
        <w:rPr>
          <w:sz w:val="20"/>
          <w:szCs w:val="20"/>
        </w:rPr>
        <w:t xml:space="preserve">Version 5.0  ·  June 2026</w:t>
      </w:r>
    </w:p>
    <w:p>
      <w:pPr>
        <w:jc w:val="center"/>
      </w:pPr>
      <w:r>
        <w:rPr>
          <w:color w:val="55627A"/>
          <w:sz w:val="18"/>
          <w:szCs w:val="18"/>
        </w:rPr>
        <w:t xml:space="preserve">Confidential — Solix Technologies, Inc.</w:t>
      </w:r>
    </w:p>
    <w:p>
      <w:r>
        <w:br w:type="page"/>
      </w:r>
    </w:p>
    <w:p>
      <w:pPr>
        <w:pStyle w:val="Heading1"/>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Executive Summary</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3</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Platform Overview</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4</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Capability Framework</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5</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Governance Operating Model</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9</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User Personas</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10</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Business Use Cases</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11</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Architecture Overview</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12</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Supported Data Sources</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13</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Business Outcomes</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14</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Glossary</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15</w:t>
            </w:r>
          </w:p>
        </w:tc>
      </w:tr>
      <w:tr>
        <w:tc>
          <w:tcPr>
            <w:tcW w:type="dxa" w:w="8360"/>
            <w:tcBorders>
              <w:top w:val="none"/>
              <w:left w:val="none"/>
              <w:bottom w:val="none"/>
              <w:right w:val="none"/>
            </w:tcBorders>
            <w:tcMar>
              <w:top w:type="dxa" w:w="36"/>
              <w:bottom w:type="dxa" w:w="36"/>
              <w:right w:type="dxa" w:w="60"/>
            </w:tcMar>
          </w:tcPr>
          <w:p>
            <w:r>
              <w:rPr>
                <w:b/>
                <w:bCs/>
                <w:color w:val="16284C"/>
                <w:sz w:val="21"/>
                <w:szCs w:val="21"/>
              </w:rPr>
              <w:t xml:space="preserve">Assumptions &amp; Gaps</w:t>
            </w:r>
          </w:p>
        </w:tc>
        <w:tc>
          <w:tcPr>
            <w:tcW w:type="dxa" w:w="1000"/>
            <w:tcBorders>
              <w:top w:val="none"/>
              <w:left w:val="none"/>
              <w:bottom w:val="none"/>
              <w:right w:val="none"/>
            </w:tcBorders>
            <w:tcMar>
              <w:top w:type="dxa" w:w="36"/>
              <w:bottom w:type="dxa" w:w="36"/>
            </w:tcMar>
          </w:tcPr>
          <w:p>
            <w:pPr>
              <w:jc w:val="right"/>
            </w:pPr>
            <w:r>
              <w:rPr>
                <w:color w:val="55627A"/>
                <w:sz w:val="21"/>
                <w:szCs w:val="21"/>
              </w:rPr>
              <w:t xml:space="preserve">16</w:t>
            </w:r>
          </w:p>
        </w:tc>
      </w:tr>
    </w:tbl>
    <w:p>
      <w:r>
        <w:br w:type="page"/>
      </w:r>
    </w:p>
    <w:p>
      <w:pPr>
        <w:pStyle w:val="Heading1"/>
      </w:pPr>
      <w:r>
        <w:t xml:space="preserve">Executive Summary</w:t>
      </w:r>
    </w:p>
    <w:p>
      <w:pPr>
        <w:pStyle w:val="Heading3"/>
      </w:pPr>
      <w:r>
        <w:t xml:space="preserve">Product Vision</w:t>
      </w:r>
    </w:p>
    <w:p>
      <w:pPr>
        <w:spacing w:after="120"/>
      </w:pPr>
      <w:r>
        <w:rPr>
          <w:i/>
          <w:iCs/>
          <w:color w:val="55627A"/>
        </w:rPr>
        <w:t xml:space="preserve">Proposed — the source document does not state an explicit vision; the statement below summarizes its documented intent and should be ratified by Product leadership (see Assumptions &amp; Gaps).</w:t>
      </w:r>
    </w:p>
    <w:p>
      <w:pPr>
        <w:spacing w:after="130"/>
      </w:pPr>
      <w:r>
        <w:t xml:space="preserve">To make trusted, well-governed data the default state of the enterprise — where any authorized person can find, understand, and confidently use data, and the organization can prove how that data is governed.</w:t>
      </w:r>
    </w:p>
    <w:p>
      <w:pPr>
        <w:pStyle w:val="Heading3"/>
      </w:pPr>
      <w:r>
        <w:t xml:space="preserve">Product Mission</w:t>
      </w:r>
    </w:p>
    <w:p>
      <w:pPr>
        <w:spacing w:after="120"/>
      </w:pPr>
      <w:r>
        <w:rPr>
          <w:i/>
          <w:iCs/>
          <w:color w:val="55627A"/>
        </w:rPr>
        <w:t xml:space="preserve">Proposed — see Assumptions &amp; Gaps.</w:t>
      </w:r>
    </w:p>
    <w:p>
      <w:pPr>
        <w:spacing w:after="130"/>
      </w:pPr>
      <w:r>
        <w:t xml:space="preserve">To provide a single governed platform that discovers, documents, classifies, quality-tests, controls, certifies, and audits data across the enterprise estate — establishing one accountable source of truth for what data exists, what it means, whether it can be trusted, how sensitive it is, and who may use it.</w:t>
      </w:r>
    </w:p>
    <w:p>
      <w:pPr>
        <w:pStyle w:val="Heading3"/>
      </w:pPr>
      <w:r>
        <w:t xml:space="preserve">Business Problem</w:t>
      </w:r>
    </w:p>
    <w:p>
      <w:pPr>
        <w:spacing w:after="130"/>
      </w:pPr>
      <w:r>
        <w:t xml:space="preserve">Most enterprises cannot reliably answer five basic questions about their own data: what data exists and where it lives; what it means and whether it can be trusted; how sensitive it is and which regulations apply; who is allowed to use it; and whether all of this can be proven to an auditor. In the absence of a governed source of truth, these answers live in spreadsheets, individual knowledge, and email, leading to duplicated effort, inconsistent reporting, unmanaged exposure of sensitive data, and audits that are reconstructed manually under deadline.</w:t>
      </w:r>
    </w:p>
    <w:p>
      <w:pPr>
        <w:pStyle w:val="Heading3"/>
      </w:pPr>
      <w:r>
        <w:t xml:space="preserve">Value Proposition</w:t>
      </w:r>
    </w:p>
    <w:p>
      <w:pPr>
        <w:spacing w:after="130"/>
      </w:pPr>
      <w:r>
        <w:t xml:space="preserve">Solix EDG consolidates capabilities that are usually purchased as separate tools — data catalog and metadata management, lineage, business glossary, classification, data quality, access control, policy and compliance management, certification, and audit — into one integrated platform that operates over the organization’s connected data sources. It governs and describes data where it resides rather than moving it, and records every governed change. The result is a single, accountable system of record for enterprise data.</w:t>
      </w:r>
    </w:p>
    <w:p>
      <w:r>
        <w:br w:type="page"/>
      </w:r>
    </w:p>
    <w:p>
      <w:pPr>
        <w:pStyle w:val="Heading1"/>
      </w:pPr>
      <w:r>
        <w:t xml:space="preserve">Platform Overview</w:t>
      </w:r>
    </w:p>
    <w:p>
      <w:pPr>
        <w:pStyle w:val="Heading3"/>
      </w:pPr>
      <w:r>
        <w:t xml:space="preserve">What is Solix EDG</w:t>
      </w:r>
    </w:p>
    <w:p>
      <w:pPr>
        <w:spacing w:after="130"/>
      </w:pPr>
      <w:r>
        <w:t xml:space="preserve">Solix EDG is an enterprise data governance platform organized around a central catalog of data assets. It connects to the organization’s cloud data warehouses, databases, and cloud file storage; builds and continuously refreshes a searchable inventory of their metadata, lineage, and profiles; and layers governance on top — business definitions, classification, quality, ownership, access policy, compliance, certification, and audit. Every asset carries an owner, a known level of quality, a classification, an enforceable access policy, and a complete history of change.</w:t>
      </w:r>
    </w:p>
    <w:p>
      <w:pPr>
        <w:pStyle w:val="Heading3"/>
      </w:pPr>
      <w:r>
        <w:t xml:space="preserve">Key Governance Outcomes</w:t>
      </w:r>
    </w:p>
    <w:p>
      <w:pPr>
        <w:pStyle w:val="ListParagraph"/>
        <w:numPr>
          <w:ilvl w:val="0"/>
          <w:numId w:val="2"/>
        </w:numPr>
        <w:spacing w:after="40"/>
      </w:pPr>
      <w:r>
        <w:rPr>
          <w:b/>
          <w:bCs/>
        </w:rPr>
        <w:t xml:space="preserve">A single source of truth — </w:t>
      </w:r>
      <w:r>
        <w:t xml:space="preserve">one current, searchable inventory of the data estate.</w:t>
      </w:r>
    </w:p>
    <w:p>
      <w:pPr>
        <w:pStyle w:val="ListParagraph"/>
        <w:numPr>
          <w:ilvl w:val="0"/>
          <w:numId w:val="2"/>
        </w:numPr>
        <w:spacing w:after="40"/>
      </w:pPr>
      <w:r>
        <w:rPr>
          <w:b/>
          <w:bCs/>
        </w:rPr>
        <w:t xml:space="preserve">Trusted data — </w:t>
      </w:r>
      <w:r>
        <w:t xml:space="preserve">measurable quality and formal certification surfaced where data is used.</w:t>
      </w:r>
    </w:p>
    <w:p>
      <w:pPr>
        <w:pStyle w:val="ListParagraph"/>
        <w:numPr>
          <w:ilvl w:val="0"/>
          <w:numId w:val="2"/>
        </w:numPr>
        <w:spacing w:after="40"/>
      </w:pPr>
      <w:r>
        <w:rPr>
          <w:b/>
          <w:bCs/>
        </w:rPr>
        <w:t xml:space="preserve">Controlled access — </w:t>
      </w:r>
      <w:r>
        <w:t xml:space="preserve">least-privilege, domain-scoped access aligned to responsibility.</w:t>
      </w:r>
    </w:p>
    <w:p>
      <w:pPr>
        <w:pStyle w:val="ListParagraph"/>
        <w:numPr>
          <w:ilvl w:val="0"/>
          <w:numId w:val="2"/>
        </w:numPr>
        <w:spacing w:after="40"/>
      </w:pPr>
      <w:r>
        <w:rPr>
          <w:b/>
          <w:bCs/>
        </w:rPr>
        <w:t xml:space="preserve">Continuous compliance — </w:t>
      </w:r>
      <w:r>
        <w:t xml:space="preserve">policies linked to regulations and evaluated continuously, with evidence.</w:t>
      </w:r>
    </w:p>
    <w:p>
      <w:pPr>
        <w:pStyle w:val="ListParagraph"/>
        <w:numPr>
          <w:ilvl w:val="0"/>
          <w:numId w:val="2"/>
        </w:numPr>
        <w:spacing w:after="40"/>
      </w:pPr>
      <w:r>
        <w:rPr>
          <w:b/>
          <w:bCs/>
        </w:rPr>
        <w:t xml:space="preserve">Accountability — </w:t>
      </w:r>
      <w:r>
        <w:t xml:space="preserve">a tamper-evident record of every governed change.</w:t>
      </w:r>
    </w:p>
    <w:p>
      <w:pPr>
        <w:pStyle w:val="ListParagraph"/>
        <w:numPr>
          <w:ilvl w:val="0"/>
          <w:numId w:val="2"/>
        </w:numPr>
        <w:spacing w:after="40"/>
      </w:pPr>
      <w:r>
        <w:rPr>
          <w:b/>
          <w:bCs/>
        </w:rPr>
        <w:t xml:space="preserve">Governance that scales — </w:t>
      </w:r>
      <w:r>
        <w:t xml:space="preserve">ownership federated to business areas through domains and data products.</w:t>
      </w:r>
    </w:p>
    <w:p>
      <w:pPr>
        <w:pStyle w:val="Heading3"/>
      </w:pPr>
      <w:r>
        <w:t xml:space="preserve">Platform Positioning</w:t>
      </w:r>
    </w:p>
    <w:p>
      <w:pPr>
        <w:spacing w:after="130"/>
      </w:pPr>
      <w:r>
        <w:t xml:space="preserve">Solix EDG is positioned as a unified enterprise data governance platform that brings cataloging, metadata management, lineage, glossary, classification, quality, access control, policy and compliance, certification, and audit together over connected sources. It governs metadata in place and does not copy or move underlying data. (Competitive positioning is intentionally excluded from this document.)</w:t>
      </w:r>
    </w:p>
    <w:p>
      <w:r>
        <w:br w:type="page"/>
      </w:r>
    </w:p>
    <w:p>
      <w:pPr>
        <w:pStyle w:val="Heading1"/>
      </w:pPr>
      <w:r>
        <w:t xml:space="preserve">Capability Framework</w:t>
      </w:r>
    </w:p>
    <w:p>
      <w:pPr>
        <w:spacing w:after="130"/>
      </w:pPr>
      <w:r>
        <w:t xml:space="preserve">The capabilities documented in the source are organized below into five governance themes — Discover, Understand, Govern, Trust, and Protect. This is a reorganization of existing capabilities for executive consumption; no capabilities have been added. Each capability is described with its function, the business value it delivers, and the benefits to the people who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Theme</w:t>
            </w:r>
          </w:p>
        </w:tc>
        <w:tc>
          <w:tcPr>
            <w:tcW w:type="dxa" w:w="68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Capabilities included</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Discover Data</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Catalog &amp; Metadata Management; Connectivity &amp; Metadata Ingestion</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Understand Data</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Business Glossary; Data Lineage</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Govern Data</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Domains &amp; Data Products; Access Control &amp; Roles; Audit &amp; Activity History</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Trust Data</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Quality; Certification</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Protect Data</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Classification &amp; Tagging; Policy Management (incl. regulatory compliance)</w:t>
            </w:r>
          </w:p>
        </w:tc>
      </w:tr>
    </w:tbl>
    <w:p>
      <w:pPr>
        <w:spacing w:after="60"/>
      </w:pPr>
      <w:r>
        <w:t xml:space="preserve"/>
      </w:r>
    </w:p>
    <w:p>
      <w:pPr>
        <w:pStyle w:val="Heading2"/>
      </w:pPr>
      <w:r>
        <w:t xml:space="preserve">1. Discover Data</w:t>
      </w:r>
    </w:p>
    <w:p>
      <w:pPr>
        <w:spacing w:after="130"/>
      </w:pPr>
      <w:r>
        <w:t xml:space="preserve">Discover Data establishes a complete, current inventory of the organization’s data and brings it under governance — the foundation every other theme depends on.</w:t>
      </w:r>
    </w:p>
    <w:p>
      <w:pPr>
        <w:pStyle w:val="Heading3"/>
      </w:pPr>
      <w:r>
        <w:t xml:space="preserve">Data Catalog &amp; Metadata Management</w:t>
      </w:r>
    </w:p>
    <w:p>
      <w:pPr>
        <w:spacing w:after="90"/>
      </w:pPr>
      <w:r>
        <w:rPr>
          <w:b/>
          <w:bCs/>
          <w:color w:val="16284C"/>
        </w:rPr>
        <w:t xml:space="preserve">Description. </w:t>
      </w:r>
      <w:r>
        <w:t xml:space="preserve">A single, searchable inventory of every database, table, view, file, and cloud-storage location across all connected systems, built and kept current automatically. Each asset is enriched with business and technical metadata — description, owner, steward, business area, sensitivity labels, and linked business terms — and displays trust signals such as a quality score, certification status, freshness, and a business-criticality tier. Detail extends to each column, including data type, keys, sensitivity flags, and automatically-computed statistics. Assets can be found by name or search and narrowed by source, domain, owner, label, or term.</w:t>
      </w:r>
    </w:p>
    <w:p>
      <w:pPr>
        <w:spacing w:after="90"/>
      </w:pPr>
      <w:r>
        <w:rPr>
          <w:b/>
          <w:bCs/>
          <w:color w:val="16284C"/>
        </w:rPr>
        <w:t xml:space="preserve">Business value. </w:t>
      </w:r>
      <w:r>
        <w:t xml:space="preserve">Removes the cost and risk of not knowing what data exists, and provides the authoritative inventory on which discovery, classification, quality, access, and compliance all rely.</w:t>
      </w:r>
    </w:p>
    <w:p>
      <w:pPr>
        <w:spacing w:after="130"/>
      </w:pPr>
      <w:r>
        <w:rPr>
          <w:b/>
          <w:bCs/>
          <w:color w:val="16284C"/>
          <w:sz w:val="20"/>
          <w:szCs w:val="20"/>
        </w:rPr>
        <w:t xml:space="preserve">User benefits:</w:t>
      </w:r>
    </w:p>
    <w:p>
      <w:pPr>
        <w:pStyle w:val="ListParagraph"/>
        <w:numPr>
          <w:ilvl w:val="0"/>
          <w:numId w:val="2"/>
        </w:numPr>
        <w:spacing w:after="40"/>
      </w:pPr>
      <w:r>
        <w:t xml:space="preserve">Analysts and engineers find the right data quickly instead of asking around.</w:t>
      </w:r>
    </w:p>
    <w:p>
      <w:pPr>
        <w:pStyle w:val="ListParagraph"/>
        <w:numPr>
          <w:ilvl w:val="0"/>
          <w:numId w:val="2"/>
        </w:numPr>
        <w:spacing w:after="40"/>
      </w:pPr>
      <w:r>
        <w:t xml:space="preserve">Owners and stewards see exactly what they are accountable for.</w:t>
      </w:r>
    </w:p>
    <w:p>
      <w:pPr>
        <w:pStyle w:val="ListParagraph"/>
        <w:numPr>
          <w:ilvl w:val="0"/>
          <w:numId w:val="2"/>
        </w:numPr>
        <w:spacing w:after="40"/>
      </w:pPr>
      <w:r>
        <w:t xml:space="preserve">Leadership gains a complete, current view of the data estate.</w:t>
      </w:r>
    </w:p>
    <w:p>
      <w:pPr>
        <w:spacing w:after="60"/>
      </w:pPr>
      <w:r>
        <w:t xml:space="preserve"/>
      </w:r>
    </w:p>
    <w:p>
      <w:pPr>
        <w:pStyle w:val="Heading3"/>
      </w:pPr>
      <w:r>
        <w:t xml:space="preserve">Connectivity &amp; Metadata Ingestion</w:t>
      </w:r>
    </w:p>
    <w:p>
      <w:pPr>
        <w:spacing w:after="90"/>
      </w:pPr>
      <w:r>
        <w:rPr>
          <w:b/>
          <w:bCs/>
          <w:color w:val="16284C"/>
        </w:rPr>
        <w:t xml:space="preserve">Description. </w:t>
      </w:r>
      <w:r>
        <w:t xml:space="preserve">Connects to cloud data warehouses, databases, and cloud file storage and reads their metadata, lineage, profiles, and usage signals on a schedule or on demand. Ingestion can be scoped using include and exclude rules at the schema and table level. The platform governs and describes data where it resides and does not copy or move it; connection credentials are protected.</w:t>
      </w:r>
    </w:p>
    <w:p>
      <w:pPr>
        <w:spacing w:after="90"/>
      </w:pPr>
      <w:r>
        <w:rPr>
          <w:b/>
          <w:bCs/>
          <w:color w:val="16284C"/>
        </w:rPr>
        <w:t xml:space="preserve">Business value. </w:t>
      </w:r>
      <w:r>
        <w:t xml:space="preserve">Keeps the catalog complete and current without manual cataloging, and avoids the cost, latency, and risk of moving data to govern it.</w:t>
      </w:r>
    </w:p>
    <w:p>
      <w:pPr>
        <w:spacing w:after="130"/>
      </w:pPr>
      <w:r>
        <w:rPr>
          <w:b/>
          <w:bCs/>
          <w:color w:val="16284C"/>
          <w:sz w:val="20"/>
          <w:szCs w:val="20"/>
        </w:rPr>
        <w:t xml:space="preserve">User benefits:</w:t>
      </w:r>
    </w:p>
    <w:p>
      <w:pPr>
        <w:pStyle w:val="ListParagraph"/>
        <w:numPr>
          <w:ilvl w:val="0"/>
          <w:numId w:val="2"/>
        </w:numPr>
        <w:spacing w:after="40"/>
      </w:pPr>
      <w:r>
        <w:t xml:space="preserve">Data engineers connect a source once and the catalog stays current automatically.</w:t>
      </w:r>
    </w:p>
    <w:p>
      <w:pPr>
        <w:pStyle w:val="ListParagraph"/>
        <w:numPr>
          <w:ilvl w:val="0"/>
          <w:numId w:val="2"/>
        </w:numPr>
        <w:spacing w:after="40"/>
      </w:pPr>
      <w:r>
        <w:t xml:space="preserve">Security teams keep data in place, reducing exposure.</w:t>
      </w:r>
    </w:p>
    <w:p>
      <w:pPr>
        <w:pStyle w:val="ListParagraph"/>
        <w:numPr>
          <w:ilvl w:val="0"/>
          <w:numId w:val="2"/>
        </w:numPr>
        <w:spacing w:after="40"/>
      </w:pPr>
      <w:r>
        <w:t xml:space="preserve">The estate view scales as new sources are added.</w:t>
      </w:r>
    </w:p>
    <w:p>
      <w:pPr>
        <w:spacing w:after="60"/>
      </w:pPr>
      <w:r>
        <w:t xml:space="preserve"/>
      </w:r>
    </w:p>
    <w:p>
      <w:pPr>
        <w:pStyle w:val="Heading2"/>
      </w:pPr>
      <w:r>
        <w:t xml:space="preserve">2. Understand Data</w:t>
      </w:r>
    </w:p>
    <w:p>
      <w:pPr>
        <w:spacing w:after="130"/>
      </w:pPr>
      <w:r>
        <w:t xml:space="preserve">Understand Data gives the inventory shared meaning and context, so data can be interpreted consistently and traced with confidence.</w:t>
      </w:r>
    </w:p>
    <w:p>
      <w:pPr>
        <w:pStyle w:val="Heading3"/>
      </w:pPr>
      <w:r>
        <w:t xml:space="preserve">Business Glossary</w:t>
      </w:r>
    </w:p>
    <w:p>
      <w:pPr>
        <w:spacing w:after="90"/>
      </w:pPr>
      <w:r>
        <w:rPr>
          <w:b/>
          <w:bCs/>
          <w:color w:val="16284C"/>
        </w:rPr>
        <w:t xml:space="preserve">Description. </w:t>
      </w:r>
      <w:r>
        <w:t xml:space="preserve">A shared dictionary of business terms with clear definitions, linked to the actual tables and columns that hold the corresponding data. Each term carries a status — draft, approved, or retired — so consumers know which definitions are authoritative, and coverage shows how much of the estate is mapped to defined terms.</w:t>
      </w:r>
    </w:p>
    <w:p>
      <w:pPr>
        <w:spacing w:after="90"/>
      </w:pPr>
      <w:r>
        <w:rPr>
          <w:b/>
          <w:bCs/>
          <w:color w:val="16284C"/>
        </w:rPr>
        <w:t xml:space="preserve">Business value. </w:t>
      </w:r>
      <w:r>
        <w:t xml:space="preserve">Eliminates conflicting definitions across departments and aligns business language with the physical data, making the catalog meaningful to business users.</w:t>
      </w:r>
    </w:p>
    <w:p>
      <w:pPr>
        <w:spacing w:after="130"/>
      </w:pPr>
      <w:r>
        <w:rPr>
          <w:b/>
          <w:bCs/>
          <w:color w:val="16284C"/>
          <w:sz w:val="20"/>
          <w:szCs w:val="20"/>
        </w:rPr>
        <w:t xml:space="preserve">User benefits:</w:t>
      </w:r>
    </w:p>
    <w:p>
      <w:pPr>
        <w:pStyle w:val="ListParagraph"/>
        <w:numPr>
          <w:ilvl w:val="0"/>
          <w:numId w:val="2"/>
        </w:numPr>
        <w:spacing w:after="40"/>
      </w:pPr>
      <w:r>
        <w:t xml:space="preserve">Business users interpret data in their own, agreed terms.</w:t>
      </w:r>
    </w:p>
    <w:p>
      <w:pPr>
        <w:pStyle w:val="ListParagraph"/>
        <w:numPr>
          <w:ilvl w:val="0"/>
          <w:numId w:val="2"/>
        </w:numPr>
        <w:spacing w:after="40"/>
      </w:pPr>
      <w:r>
        <w:t xml:space="preserve">Analysts trust they are applying the approved definition.</w:t>
      </w:r>
    </w:p>
    <w:p>
      <w:pPr>
        <w:pStyle w:val="ListParagraph"/>
        <w:numPr>
          <w:ilvl w:val="0"/>
          <w:numId w:val="2"/>
        </w:numPr>
        <w:spacing w:after="40"/>
      </w:pPr>
      <w:r>
        <w:t xml:space="preserve">Stewards maintain a controlled, authoritative vocabulary.</w:t>
      </w:r>
    </w:p>
    <w:p>
      <w:pPr>
        <w:spacing w:after="60"/>
      </w:pPr>
      <w:r>
        <w:t xml:space="preserve"/>
      </w:r>
    </w:p>
    <w:p>
      <w:pPr>
        <w:pStyle w:val="Heading3"/>
      </w:pPr>
      <w:r>
        <w:t xml:space="preserve">Data Lineage</w:t>
      </w:r>
    </w:p>
    <w:p>
      <w:pPr>
        <w:spacing w:after="90"/>
      </w:pPr>
      <w:r>
        <w:rPr>
          <w:b/>
          <w:bCs/>
          <w:color w:val="16284C"/>
        </w:rPr>
        <w:t xml:space="preserve">Description. </w:t>
      </w:r>
      <w:r>
        <w:t xml:space="preserve">An end-to-end map of how data flows from its original source, through transformations, to the reports and models that consume it — including the ability to trace a single column across systems.</w:t>
      </w:r>
    </w:p>
    <w:p>
      <w:pPr>
        <w:spacing w:after="90"/>
      </w:pPr>
      <w:r>
        <w:rPr>
          <w:b/>
          <w:bCs/>
          <w:color w:val="16284C"/>
        </w:rPr>
        <w:t xml:space="preserve">Business value. </w:t>
      </w:r>
      <w:r>
        <w:t xml:space="preserve">Enables impact analysis before changes are made and establishes provenance for trust and audit.</w:t>
      </w:r>
    </w:p>
    <w:p>
      <w:pPr>
        <w:spacing w:after="130"/>
      </w:pPr>
      <w:r>
        <w:rPr>
          <w:b/>
          <w:bCs/>
          <w:color w:val="16284C"/>
          <w:sz w:val="20"/>
          <w:szCs w:val="20"/>
        </w:rPr>
        <w:t xml:space="preserve">User benefits:</w:t>
      </w:r>
    </w:p>
    <w:p>
      <w:pPr>
        <w:pStyle w:val="ListParagraph"/>
        <w:numPr>
          <w:ilvl w:val="0"/>
          <w:numId w:val="2"/>
        </w:numPr>
        <w:spacing w:after="40"/>
      </w:pPr>
      <w:r>
        <w:t xml:space="preserve">Engineers see what will be affected before changing a source.</w:t>
      </w:r>
    </w:p>
    <w:p>
      <w:pPr>
        <w:pStyle w:val="ListParagraph"/>
        <w:numPr>
          <w:ilvl w:val="0"/>
          <w:numId w:val="2"/>
        </w:numPr>
        <w:spacing w:after="40"/>
      </w:pPr>
      <w:r>
        <w:t xml:space="preserve">Analysts and auditors can trace any figure back to its origin.</w:t>
      </w:r>
    </w:p>
    <w:p>
      <w:pPr>
        <w:pStyle w:val="ListParagraph"/>
        <w:numPr>
          <w:ilvl w:val="0"/>
          <w:numId w:val="2"/>
        </w:numPr>
        <w:spacing w:after="40"/>
      </w:pPr>
      <w:r>
        <w:t xml:space="preserve">Teams resolve issues faster by following the data path.</w:t>
      </w:r>
    </w:p>
    <w:p>
      <w:pPr>
        <w:spacing w:after="60"/>
      </w:pPr>
      <w:r>
        <w:t xml:space="preserve"/>
      </w:r>
    </w:p>
    <w:p>
      <w:pPr>
        <w:pStyle w:val="Heading2"/>
      </w:pPr>
      <w:r>
        <w:t xml:space="preserve">3. Govern Data</w:t>
      </w:r>
    </w:p>
    <w:p>
      <w:pPr>
        <w:spacing w:after="130"/>
      </w:pPr>
      <w:r>
        <w:t xml:space="preserve">Govern Data establishes structure, ownership, and accountability over the estate — who owns what, who may act on it, and a record of everything that happens.</w:t>
      </w:r>
    </w:p>
    <w:p>
      <w:pPr>
        <w:pStyle w:val="Heading3"/>
      </w:pPr>
      <w:r>
        <w:t xml:space="preserve">Data Domains &amp; Data Products</w:t>
      </w:r>
    </w:p>
    <w:p>
      <w:pPr>
        <w:spacing w:after="90"/>
      </w:pPr>
      <w:r>
        <w:rPr>
          <w:b/>
          <w:bCs/>
          <w:color w:val="16284C"/>
        </w:rPr>
        <w:t xml:space="preserve">Description. </w:t>
      </w:r>
      <w:r>
        <w:t xml:space="preserve">Organizes assets into business-aligned domains, each with its own owners, stewards, and domain experts, and packages trusted data into curated data products with defined inputs and outputs. Domains and data products carry a lifecycle status — active, draft, breached, or under review — and ownership attaches to teams.</w:t>
      </w:r>
    </w:p>
    <w:p>
      <w:pPr>
        <w:spacing w:after="90"/>
      </w:pPr>
      <w:r>
        <w:rPr>
          <w:b/>
          <w:bCs/>
          <w:color w:val="16284C"/>
        </w:rPr>
        <w:t xml:space="preserve">Business value. </w:t>
      </w:r>
      <w:r>
        <w:t xml:space="preserve">Provides federated governance that scales, placing accountability close to the data and keeping it durable through staff and role changes.</w:t>
      </w:r>
    </w:p>
    <w:p>
      <w:pPr>
        <w:spacing w:after="130"/>
      </w:pPr>
      <w:r>
        <w:rPr>
          <w:b/>
          <w:bCs/>
          <w:color w:val="16284C"/>
          <w:sz w:val="20"/>
          <w:szCs w:val="20"/>
        </w:rPr>
        <w:t xml:space="preserve">User benefits:</w:t>
      </w:r>
    </w:p>
    <w:p>
      <w:pPr>
        <w:pStyle w:val="ListParagraph"/>
        <w:numPr>
          <w:ilvl w:val="0"/>
          <w:numId w:val="2"/>
        </w:numPr>
        <w:spacing w:after="40"/>
      </w:pPr>
      <w:r>
        <w:t xml:space="preserve">Domain teams own and steward their own data within enterprise standards.</w:t>
      </w:r>
    </w:p>
    <w:p>
      <w:pPr>
        <w:pStyle w:val="ListParagraph"/>
        <w:numPr>
          <w:ilvl w:val="0"/>
          <w:numId w:val="2"/>
        </w:numPr>
        <w:spacing w:after="40"/>
      </w:pPr>
      <w:r>
        <w:t xml:space="preserve">Consumers find packaged, trusted datasets ready for use.</w:t>
      </w:r>
    </w:p>
    <w:p>
      <w:pPr>
        <w:pStyle w:val="ListParagraph"/>
        <w:numPr>
          <w:ilvl w:val="0"/>
          <w:numId w:val="2"/>
        </w:numPr>
        <w:spacing w:after="40"/>
      </w:pPr>
      <w:r>
        <w:t xml:space="preserve">Leadership sees ownership and status by business area.</w:t>
      </w:r>
    </w:p>
    <w:p>
      <w:pPr>
        <w:spacing w:after="60"/>
      </w:pPr>
      <w:r>
        <w:t xml:space="preserve"/>
      </w:r>
    </w:p>
    <w:p>
      <w:pPr>
        <w:pStyle w:val="Heading3"/>
      </w:pPr>
      <w:r>
        <w:t xml:space="preserve">Access Control &amp; Roles</w:t>
      </w:r>
    </w:p>
    <w:p>
      <w:pPr>
        <w:spacing w:after="90"/>
      </w:pPr>
      <w:r>
        <w:rPr>
          <w:b/>
          <w:bCs/>
          <w:color w:val="16284C"/>
        </w:rPr>
        <w:t xml:space="preserve">Description. </w:t>
      </w:r>
      <w:r>
        <w:t xml:space="preserve">Role-based access built on four standard roles — Admin, Connection Admin, Steward, and Viewer — plus the ability to create custom roles. Permissions are defined at the level of specific operations on specific resource types and can be scoped to a domain. Access can be conditioned on ownership, team membership, domain, role, sensitivity label, or certification status, and people are organized into teams.</w:t>
      </w:r>
    </w:p>
    <w:p>
      <w:pPr>
        <w:spacing w:after="90"/>
      </w:pPr>
      <w:r>
        <w:rPr>
          <w:b/>
          <w:bCs/>
          <w:color w:val="16284C"/>
        </w:rPr>
        <w:t xml:space="preserve">Business value. </w:t>
      </w:r>
      <w:r>
        <w:t xml:space="preserve">Delivers least-privilege access that mirrors responsibility and is straightforward to review and prove.</w:t>
      </w:r>
    </w:p>
    <w:p>
      <w:pPr>
        <w:spacing w:after="130"/>
      </w:pPr>
      <w:r>
        <w:rPr>
          <w:b/>
          <w:bCs/>
          <w:color w:val="16284C"/>
          <w:sz w:val="20"/>
          <w:szCs w:val="20"/>
        </w:rPr>
        <w:t xml:space="preserve">User benefits:</w:t>
      </w:r>
    </w:p>
    <w:p>
      <w:pPr>
        <w:pStyle w:val="ListParagraph"/>
        <w:numPr>
          <w:ilvl w:val="0"/>
          <w:numId w:val="2"/>
        </w:numPr>
        <w:spacing w:after="40"/>
      </w:pPr>
      <w:r>
        <w:t xml:space="preserve">Administrators manage a small, clear set of roles rather than per-person permissions.</w:t>
      </w:r>
    </w:p>
    <w:p>
      <w:pPr>
        <w:pStyle w:val="ListParagraph"/>
        <w:numPr>
          <w:ilvl w:val="0"/>
          <w:numId w:val="2"/>
        </w:numPr>
        <w:spacing w:after="40"/>
      </w:pPr>
      <w:r>
        <w:t xml:space="preserve">Stewards act only within their assigned business area.</w:t>
      </w:r>
    </w:p>
    <w:p>
      <w:pPr>
        <w:pStyle w:val="ListParagraph"/>
        <w:numPr>
          <w:ilvl w:val="0"/>
          <w:numId w:val="2"/>
        </w:numPr>
        <w:spacing w:after="40"/>
      </w:pPr>
      <w:r>
        <w:t xml:space="preserve">Access reviews and audits are simpler and faster.</w:t>
      </w:r>
    </w:p>
    <w:p>
      <w:pPr>
        <w:spacing w:after="60"/>
      </w:pPr>
      <w:r>
        <w:t xml:space="preserve"/>
      </w:r>
    </w:p>
    <w:p>
      <w:pPr>
        <w:pStyle w:val="Heading3"/>
      </w:pPr>
      <w:r>
        <w:t xml:space="preserve">Audit &amp; Activity History</w:t>
      </w:r>
    </w:p>
    <w:p>
      <w:pPr>
        <w:spacing w:after="90"/>
      </w:pPr>
      <w:r>
        <w:rPr>
          <w:b/>
          <w:bCs/>
          <w:color w:val="16284C"/>
        </w:rPr>
        <w:t xml:space="preserve">Description. </w:t>
      </w:r>
      <w:r>
        <w:t xml:space="preserve">A tamper-evident record of every governed change — capturing the time, exactly what changed (with before-and-after values), and who made the change — across data assets, domains, data products, and policies. The history can be exported.</w:t>
      </w:r>
    </w:p>
    <w:p>
      <w:pPr>
        <w:spacing w:after="90"/>
      </w:pPr>
      <w:r>
        <w:rPr>
          <w:b/>
          <w:bCs/>
          <w:color w:val="16284C"/>
        </w:rPr>
        <w:t xml:space="preserve">Business value. </w:t>
      </w:r>
      <w:r>
        <w:t xml:space="preserve">Provides defensible evidence for audits and a reliable basis for accountability across the platform.</w:t>
      </w:r>
    </w:p>
    <w:p>
      <w:pPr>
        <w:spacing w:after="130"/>
      </w:pPr>
      <w:r>
        <w:rPr>
          <w:b/>
          <w:bCs/>
          <w:color w:val="16284C"/>
          <w:sz w:val="20"/>
          <w:szCs w:val="20"/>
        </w:rPr>
        <w:t xml:space="preserve">User benefits:</w:t>
      </w:r>
    </w:p>
    <w:p>
      <w:pPr>
        <w:pStyle w:val="ListParagraph"/>
        <w:numPr>
          <w:ilvl w:val="0"/>
          <w:numId w:val="2"/>
        </w:numPr>
        <w:spacing w:after="40"/>
      </w:pPr>
      <w:r>
        <w:t xml:space="preserve">Compliance and leadership can prove what happened, by whom, and when.</w:t>
      </w:r>
    </w:p>
    <w:p>
      <w:pPr>
        <w:pStyle w:val="ListParagraph"/>
        <w:numPr>
          <w:ilvl w:val="0"/>
          <w:numId w:val="2"/>
        </w:numPr>
        <w:spacing w:after="40"/>
      </w:pPr>
      <w:r>
        <w:t xml:space="preserve">Teams have a dependable change history to investigate issues.</w:t>
      </w:r>
    </w:p>
    <w:p>
      <w:pPr>
        <w:pStyle w:val="ListParagraph"/>
        <w:numPr>
          <w:ilvl w:val="0"/>
          <w:numId w:val="2"/>
        </w:numPr>
        <w:spacing w:after="40"/>
      </w:pPr>
      <w:r>
        <w:t xml:space="preserve">Audit preparation shifts from manual reconstruction to export.</w:t>
      </w:r>
    </w:p>
    <w:p>
      <w:pPr>
        <w:spacing w:after="60"/>
      </w:pPr>
      <w:r>
        <w:t xml:space="preserve"/>
      </w:r>
    </w:p>
    <w:p>
      <w:pPr>
        <w:pStyle w:val="Heading2"/>
      </w:pPr>
      <w:r>
        <w:t xml:space="preserve">4. Trust Data</w:t>
      </w:r>
    </w:p>
    <w:p>
      <w:pPr>
        <w:spacing w:after="130"/>
      </w:pPr>
      <w:r>
        <w:t xml:space="preserve">Trust Data makes data dependable and signals that dependability where decisions are made — through measurable quality and formal certification.</w:t>
      </w:r>
    </w:p>
    <w:p>
      <w:pPr>
        <w:pStyle w:val="Heading3"/>
      </w:pPr>
      <w:r>
        <w:t xml:space="preserve">Data Quality</w:t>
      </w:r>
    </w:p>
    <w:p>
      <w:pPr>
        <w:spacing w:after="90"/>
      </w:pPr>
      <w:r>
        <w:rPr>
          <w:b/>
          <w:bCs/>
          <w:color w:val="16284C"/>
        </w:rPr>
        <w:t xml:space="preserve">Description. </w:t>
      </w:r>
      <w:r>
        <w:t xml:space="preserve">Tests defined against data across six standard dimensions — completeness, accuracy, consistency, timeliness, validity, and uniqueness. Each asset receives a quality score shown in the catalog; failed checks raise incidents tracked through open, in-review, resolved, and dismissed states, each with a severity and a written root cause. Checks run on a schedule or on demand.</w:t>
      </w:r>
    </w:p>
    <w:p>
      <w:pPr>
        <w:spacing w:after="90"/>
      </w:pPr>
      <w:r>
        <w:rPr>
          <w:b/>
          <w:bCs/>
          <w:color w:val="16284C"/>
        </w:rPr>
        <w:t xml:space="preserve">Business value. </w:t>
      </w:r>
      <w:r>
        <w:t xml:space="preserve">Makes trust measurable and proactive, reducing the cost and risk of poor data reaching reports and decisions.</w:t>
      </w:r>
    </w:p>
    <w:p>
      <w:pPr>
        <w:spacing w:after="130"/>
      </w:pPr>
      <w:r>
        <w:rPr>
          <w:b/>
          <w:bCs/>
          <w:color w:val="16284C"/>
          <w:sz w:val="20"/>
          <w:szCs w:val="20"/>
        </w:rPr>
        <w:t xml:space="preserve">User benefits:</w:t>
      </w:r>
    </w:p>
    <w:p>
      <w:pPr>
        <w:pStyle w:val="ListParagraph"/>
        <w:numPr>
          <w:ilvl w:val="0"/>
          <w:numId w:val="2"/>
        </w:numPr>
        <w:spacing w:after="40"/>
      </w:pPr>
      <w:r>
        <w:t xml:space="preserve">Consumers see at a glance whether an asset is dependable.</w:t>
      </w:r>
    </w:p>
    <w:p>
      <w:pPr>
        <w:pStyle w:val="ListParagraph"/>
        <w:numPr>
          <w:ilvl w:val="0"/>
          <w:numId w:val="2"/>
        </w:numPr>
        <w:spacing w:after="40"/>
      </w:pPr>
      <w:r>
        <w:t xml:space="preserve">Stewards manage quality issues through to closure.</w:t>
      </w:r>
    </w:p>
    <w:p>
      <w:pPr>
        <w:pStyle w:val="ListParagraph"/>
        <w:numPr>
          <w:ilvl w:val="0"/>
          <w:numId w:val="2"/>
        </w:numPr>
        <w:spacing w:after="40"/>
      </w:pPr>
      <w:r>
        <w:t xml:space="preserve">Leadership tracks the quality of the estate over time.</w:t>
      </w:r>
    </w:p>
    <w:p>
      <w:pPr>
        <w:spacing w:after="60"/>
      </w:pPr>
      <w:r>
        <w:t xml:space="preserve"/>
      </w:r>
    </w:p>
    <w:p>
      <w:pPr>
        <w:pStyle w:val="Heading3"/>
      </w:pPr>
      <w:r>
        <w:t xml:space="preserve">Certification</w:t>
      </w:r>
    </w:p>
    <w:p>
      <w:pPr>
        <w:spacing w:after="90"/>
      </w:pPr>
      <w:r>
        <w:rPr>
          <w:b/>
          <w:bCs/>
          <w:color w:val="16284C"/>
        </w:rPr>
        <w:t xml:space="preserve">Description. </w:t>
      </w:r>
      <w:r>
        <w:t xml:space="preserve">A formal signal that an asset has been reviewed and can be trusted. Assets and glossary terms can be certified, and their certification status and quality score travel with them wherever they appear. Certification follows a consistent checklist — documentation present, sensitive data labelled, lineage verified, quality checks passing, and an owner assigned.</w:t>
      </w:r>
    </w:p>
    <w:p>
      <w:pPr>
        <w:spacing w:after="90"/>
      </w:pPr>
      <w:r>
        <w:rPr>
          <w:b/>
          <w:bCs/>
          <w:color w:val="16284C"/>
        </w:rPr>
        <w:t xml:space="preserve">Business value. </w:t>
      </w:r>
      <w:r>
        <w:t xml:space="preserve">Turns trust from an informal opinion into a visible, governed status at the point of use.</w:t>
      </w:r>
    </w:p>
    <w:p>
      <w:pPr>
        <w:spacing w:after="130"/>
      </w:pPr>
      <w:r>
        <w:rPr>
          <w:b/>
          <w:bCs/>
          <w:color w:val="16284C"/>
          <w:sz w:val="20"/>
          <w:szCs w:val="20"/>
        </w:rPr>
        <w:t xml:space="preserve">User benefits:</w:t>
      </w:r>
    </w:p>
    <w:p>
      <w:pPr>
        <w:pStyle w:val="ListParagraph"/>
        <w:numPr>
          <w:ilvl w:val="0"/>
          <w:numId w:val="2"/>
        </w:numPr>
        <w:spacing w:after="40"/>
      </w:pPr>
      <w:r>
        <w:t xml:space="preserve">Consumers confidently choose certified, trusted data.</w:t>
      </w:r>
    </w:p>
    <w:p>
      <w:pPr>
        <w:pStyle w:val="ListParagraph"/>
        <w:numPr>
          <w:ilvl w:val="0"/>
          <w:numId w:val="2"/>
        </w:numPr>
        <w:spacing w:after="40"/>
      </w:pPr>
      <w:r>
        <w:t xml:space="preserve">Stewards formalize and stand behind the data they curate.</w:t>
      </w:r>
    </w:p>
    <w:p>
      <w:pPr>
        <w:pStyle w:val="ListParagraph"/>
        <w:numPr>
          <w:ilvl w:val="0"/>
          <w:numId w:val="2"/>
        </w:numPr>
        <w:spacing w:after="40"/>
      </w:pPr>
      <w:r>
        <w:t xml:space="preserve">The organization distinguishes authoritative data from the rest.</w:t>
      </w:r>
    </w:p>
    <w:p>
      <w:pPr>
        <w:spacing w:after="60"/>
      </w:pPr>
      <w:r>
        <w:t xml:space="preserve"/>
      </w:r>
    </w:p>
    <w:p>
      <w:pPr>
        <w:pStyle w:val="Heading2"/>
      </w:pPr>
      <w:r>
        <w:t xml:space="preserve">5. Protect Data</w:t>
      </w:r>
    </w:p>
    <w:p>
      <w:pPr>
        <w:spacing w:after="130"/>
      </w:pPr>
      <w:r>
        <w:t xml:space="preserve">Protect Data identifies sensitive data and enforces how it must be handled — through classification and through policies tied to regulation.</w:t>
      </w:r>
    </w:p>
    <w:p>
      <w:pPr>
        <w:pStyle w:val="Heading3"/>
      </w:pPr>
      <w:r>
        <w:t xml:space="preserve">Data Classification &amp; Tagging</w:t>
      </w:r>
    </w:p>
    <w:p>
      <w:pPr>
        <w:spacing w:after="90"/>
      </w:pPr>
      <w:r>
        <w:rPr>
          <w:b/>
          <w:bCs/>
          <w:color w:val="16284C"/>
        </w:rPr>
        <w:t xml:space="preserve">Description. </w:t>
      </w:r>
      <w:r>
        <w:t xml:space="preserve">Governed labelling of data by sensitivity and meaning, including built-in sensitivity classifications for the most regulated data — PII (personal data), PHI (health data), and PCI-DSS (payment-card data). Labels are organized into categories and tracked for usage; classification drives access policy and compliance checks; and labels that already exist in source systems are reconciled to governed labels, with naming conflicts flagged for resolution.</w:t>
      </w:r>
    </w:p>
    <w:p>
      <w:pPr>
        <w:spacing w:after="90"/>
      </w:pPr>
      <w:r>
        <w:rPr>
          <w:b/>
          <w:bCs/>
          <w:color w:val="16284C"/>
        </w:rPr>
        <w:t xml:space="preserve">Business value. </w:t>
      </w:r>
      <w:r>
        <w:t xml:space="preserve">Ensures sensitive data is identified and consistently governed across the estate — the prerequisite for privacy and compliance.</w:t>
      </w:r>
    </w:p>
    <w:p>
      <w:pPr>
        <w:spacing w:after="130"/>
      </w:pPr>
      <w:r>
        <w:rPr>
          <w:b/>
          <w:bCs/>
          <w:color w:val="16284C"/>
          <w:sz w:val="20"/>
          <w:szCs w:val="20"/>
        </w:rPr>
        <w:t xml:space="preserve">User benefits:</w:t>
      </w:r>
    </w:p>
    <w:p>
      <w:pPr>
        <w:pStyle w:val="ListParagraph"/>
        <w:numPr>
          <w:ilvl w:val="0"/>
          <w:numId w:val="2"/>
        </w:numPr>
        <w:spacing w:after="40"/>
      </w:pPr>
      <w:r>
        <w:t xml:space="preserve">Security and privacy teams locate regulated data reliably.</w:t>
      </w:r>
    </w:p>
    <w:p>
      <w:pPr>
        <w:pStyle w:val="ListParagraph"/>
        <w:numPr>
          <w:ilvl w:val="0"/>
          <w:numId w:val="2"/>
        </w:numPr>
        <w:spacing w:after="40"/>
      </w:pPr>
      <w:r>
        <w:t xml:space="preserve">Classification automatically informs protection and policy.</w:t>
      </w:r>
    </w:p>
    <w:p>
      <w:pPr>
        <w:pStyle w:val="ListParagraph"/>
        <w:numPr>
          <w:ilvl w:val="0"/>
          <w:numId w:val="2"/>
        </w:numPr>
        <w:spacing w:after="40"/>
      </w:pPr>
      <w:r>
        <w:t xml:space="preserve">Labelling stays consistent between source systems and the catalog.</w:t>
      </w:r>
    </w:p>
    <w:p>
      <w:pPr>
        <w:spacing w:after="60"/>
      </w:pPr>
      <w:r>
        <w:t xml:space="preserve"/>
      </w:r>
    </w:p>
    <w:p>
      <w:pPr>
        <w:pStyle w:val="Heading3"/>
      </w:pPr>
      <w:r>
        <w:t xml:space="preserve">Policy Management (including regulatory compliance)</w:t>
      </w:r>
    </w:p>
    <w:p>
      <w:pPr>
        <w:spacing w:after="90"/>
      </w:pPr>
      <w:r>
        <w:rPr>
          <w:b/>
          <w:bCs/>
          <w:color w:val="16284C"/>
        </w:rPr>
        <w:t xml:space="preserve">Description. </w:t>
      </w:r>
      <w:r>
        <w:t xml:space="preserve">Policies define how categories of data must be handled, each with a name, category, scope (the data it applies to), severity, owner, and lifecycle state. Every policy reports the assets it covers, a compliance score, and a violation count. A regulation register links real obligations — for example GDPR, SOC 2, CCPA, HIPAA, and PCI DSS — to the policies that satisfy them, with controls mapped to specific assets; a risk register links governance risks to policies; and policies are evaluated continuously on a schedule.</w:t>
      </w:r>
    </w:p>
    <w:p>
      <w:pPr>
        <w:spacing w:after="90"/>
      </w:pPr>
      <w:r>
        <w:rPr>
          <w:b/>
          <w:bCs/>
          <w:color w:val="16284C"/>
        </w:rPr>
        <w:t xml:space="preserve">Business value. </w:t>
      </w:r>
      <w:r>
        <w:t xml:space="preserve">Converts compliance from a periodic, manual exercise into a continuous, evidence-backed posture, and enforces the handling of sensitive data by policy.</w:t>
      </w:r>
    </w:p>
    <w:p>
      <w:pPr>
        <w:spacing w:after="130"/>
      </w:pPr>
      <w:r>
        <w:rPr>
          <w:b/>
          <w:bCs/>
          <w:color w:val="16284C"/>
          <w:sz w:val="20"/>
          <w:szCs w:val="20"/>
        </w:rPr>
        <w:t xml:space="preserve">User benefits:</w:t>
      </w:r>
    </w:p>
    <w:p>
      <w:pPr>
        <w:pStyle w:val="ListParagraph"/>
        <w:numPr>
          <w:ilvl w:val="0"/>
          <w:numId w:val="2"/>
        </w:numPr>
        <w:spacing w:after="40"/>
      </w:pPr>
      <w:r>
        <w:t xml:space="preserve">Compliance officers see live compliance posture and gaps.</w:t>
      </w:r>
    </w:p>
    <w:p>
      <w:pPr>
        <w:pStyle w:val="ListParagraph"/>
        <w:numPr>
          <w:ilvl w:val="0"/>
          <w:numId w:val="2"/>
        </w:numPr>
        <w:spacing w:after="40"/>
      </w:pPr>
      <w:r>
        <w:t xml:space="preserve">Leadership can demonstrate how obligations are being met.</w:t>
      </w:r>
    </w:p>
    <w:p>
      <w:pPr>
        <w:pStyle w:val="ListParagraph"/>
        <w:numPr>
          <w:ilvl w:val="0"/>
          <w:numId w:val="2"/>
        </w:numPr>
        <w:spacing w:after="40"/>
      </w:pPr>
      <w:r>
        <w:t xml:space="preserve">Risk and remediation are tracked against concrete policies.</w:t>
      </w:r>
    </w:p>
    <w:p>
      <w:pPr>
        <w:spacing w:after="60"/>
      </w:pPr>
      <w:r>
        <w:t xml:space="preserve"/>
      </w:r>
    </w:p>
    <w:p>
      <w:r>
        <w:br w:type="page"/>
      </w:r>
    </w:p>
    <w:p>
      <w:pPr>
        <w:pStyle w:val="Heading1"/>
      </w:pPr>
      <w:r>
        <w:t xml:space="preserve">Governance Operating Model</w:t>
      </w:r>
    </w:p>
    <w:p>
      <w:pPr>
        <w:spacing w:after="130"/>
      </w:pPr>
      <w:r>
        <w:t xml:space="preserve">The platform’s objects work together as one operating model. The description below uses only relationships documented in the source.</w:t>
      </w:r>
    </w:p>
    <w:p>
      <w:pPr>
        <w:pStyle w:val="ListParagraph"/>
        <w:numPr>
          <w:ilvl w:val="0"/>
          <w:numId w:val="2"/>
        </w:numPr>
        <w:spacing w:after="40"/>
      </w:pPr>
      <w:r>
        <w:rPr>
          <w:b/>
          <w:bCs/>
        </w:rPr>
        <w:t xml:space="preserve">Assets — </w:t>
      </w:r>
      <w:r>
        <w:t xml:space="preserve">the governed data objects — databases, schemas, tables and views, and storage containers and objects — that the catalog inventories and enriches with metadata.</w:t>
      </w:r>
    </w:p>
    <w:p>
      <w:pPr>
        <w:pStyle w:val="ListParagraph"/>
        <w:numPr>
          <w:ilvl w:val="0"/>
          <w:numId w:val="2"/>
        </w:numPr>
        <w:spacing w:after="40"/>
      </w:pPr>
      <w:r>
        <w:rPr>
          <w:b/>
          <w:bCs/>
        </w:rPr>
        <w:t xml:space="preserve">Domains — </w:t>
      </w:r>
      <w:r>
        <w:t xml:space="preserve">business-aligned groupings that organize assets and assign ownership (owners, stewards, and domain experts) to a business area.</w:t>
      </w:r>
    </w:p>
    <w:p>
      <w:pPr>
        <w:pStyle w:val="ListParagraph"/>
        <w:numPr>
          <w:ilvl w:val="0"/>
          <w:numId w:val="2"/>
        </w:numPr>
        <w:spacing w:after="40"/>
      </w:pPr>
      <w:r>
        <w:rPr>
          <w:b/>
          <w:bCs/>
        </w:rPr>
        <w:t xml:space="preserve">Data products — </w:t>
      </w:r>
      <w:r>
        <w:t xml:space="preserve">curated, owned bundles of assets within domains, packaged with defined inputs and outputs for consumption.</w:t>
      </w:r>
    </w:p>
    <w:p>
      <w:pPr>
        <w:pStyle w:val="ListParagraph"/>
        <w:numPr>
          <w:ilvl w:val="0"/>
          <w:numId w:val="2"/>
        </w:numPr>
        <w:spacing w:after="40"/>
      </w:pPr>
      <w:r>
        <w:rPr>
          <w:b/>
          <w:bCs/>
        </w:rPr>
        <w:t xml:space="preserve">Ownership — </w:t>
      </w:r>
      <w:r>
        <w:t xml:space="preserve">attaches to teams at the domain and data-product level, so accountability for assets is durable and clear.</w:t>
      </w:r>
    </w:p>
    <w:p>
      <w:pPr>
        <w:pStyle w:val="ListParagraph"/>
        <w:numPr>
          <w:ilvl w:val="0"/>
          <w:numId w:val="2"/>
        </w:numPr>
        <w:spacing w:after="40"/>
      </w:pPr>
      <w:r>
        <w:rPr>
          <w:b/>
          <w:bCs/>
        </w:rPr>
        <w:t xml:space="preserve">Policies — </w:t>
      </w:r>
      <w:r>
        <w:t xml:space="preserve">define how categories of data must be handled and are evaluated against the assets within their scope; the classifications carried by assets determine which policies and regulations apply, producing compliance scores and violations.</w:t>
      </w:r>
    </w:p>
    <w:p>
      <w:pPr>
        <w:pStyle w:val="ListParagraph"/>
        <w:numPr>
          <w:ilvl w:val="0"/>
          <w:numId w:val="2"/>
        </w:numPr>
        <w:spacing w:after="40"/>
      </w:pPr>
      <w:r>
        <w:rPr>
          <w:b/>
          <w:bCs/>
        </w:rPr>
        <w:t xml:space="preserve">Certifications — </w:t>
      </w:r>
      <w:r>
        <w:t xml:space="preserve">applied to assets and glossary terms once the certification criteria are met — documentation, sensitive-data labelling, verified lineage, passing quality, and an assigned owner — signalling trust at the point of use.</w:t>
      </w:r>
    </w:p>
    <w:p>
      <w:pPr>
        <w:spacing w:after="130"/>
      </w:pPr>
      <w:r>
        <w:t xml:space="preserve">In combination: domains and data products provide structure and ownership; classification and policy provide control and compliance; quality and certification provide trust; access roles govern who may act on assets, scoped by domain; and the audit history records every change — giving one accountable model from raw asset to trusted, governed data.</w:t>
      </w:r>
    </w:p>
    <w:p>
      <w:r>
        <w:br w:type="page"/>
      </w:r>
    </w:p>
    <w:p>
      <w:pPr>
        <w:pStyle w:val="Heading1"/>
      </w:pPr>
      <w:r>
        <w:t xml:space="preserve">User Personas</w:t>
      </w:r>
    </w:p>
    <w:p>
      <w:pPr>
        <w:spacing w:after="120"/>
      </w:pPr>
      <w:r>
        <w:rPr>
          <w:i/>
          <w:iCs/>
          <w:color w:val="55627A"/>
        </w:rPr>
        <w:t xml:space="preserve">The platform enforces four roles — Admin, Connection Admin, Steward, and Viewer. The leadership personas below are mapped onto those roles and onto ownership; the mapping is interpretive and noted in Assumptions &amp; Gaps. Each persona is described only in terms of documented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Persona</w:t>
            </w:r>
          </w:p>
        </w:tc>
        <w:tc>
          <w:tcPr>
            <w:tcW w:type="dxa" w:w="68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How they interact with documented capabilities</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Chief Data Officer (CDO)</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Consumes the governance picture — catalog coverage, quality scores, certification, compliance posture, and audit — to steer the program. Typically a Viewer/Admin-level consumer of dash'boards and reports.</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Steward</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Curates trust within assigned domains: maintains descriptions and glossary links, applies classifications, manages data-quality incidents, and certifies assets. Maps to the Steward role with domain-scoped permissions.</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Owner</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Accountable for assets and domains; ensures ownership, classification, policy conformance, and certification are in place. Ownership attaches to teams at the domain/data-product level.</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Consumer</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Discovers and uses trusted data via the catalog, search, glossary, quality scores, and certification, and requests access where needed. Maps to the Viewer role.</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Compliance Officer</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Uses Policy Management, the regulation register, compliance controls, and the audit history to monitor compliance posture and produce evidence.</w:t>
            </w:r>
          </w:p>
        </w:tc>
      </w:tr>
      <w:tr>
        <w:tc>
          <w:tcPr>
            <w:tcW w:type="dxa" w:w="25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Engineer</w:t>
            </w:r>
          </w:p>
        </w:tc>
        <w:tc>
          <w:tcPr>
            <w:tcW w:type="dxa" w:w="68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Connects sources and manages metadata ingestion, and maintains lineage and schema information. Maps to the Connection Admin role.</w:t>
            </w:r>
          </w:p>
        </w:tc>
      </w:tr>
    </w:tbl>
    <w:p>
      <w:r>
        <w:br w:type="page"/>
      </w:r>
    </w:p>
    <w:p>
      <w:pPr>
        <w:pStyle w:val="Heading1"/>
      </w:pPr>
      <w:r>
        <w:t xml:space="preserve">Business Use Cases</w:t>
      </w:r>
    </w:p>
    <w:p>
      <w:pPr>
        <w:spacing w:after="130"/>
      </w:pPr>
      <w:r>
        <w:t xml:space="preserve">The following use cases are constructed only from documented functionality.</w:t>
      </w:r>
    </w:p>
    <w:p>
      <w:pPr>
        <w:pStyle w:val="Heading3"/>
      </w:pPr>
      <w:r>
        <w:t xml:space="preserve">1. Onboard a new data source under governance</w:t>
      </w:r>
    </w:p>
    <w:p>
      <w:pPr>
        <w:spacing w:after="130"/>
      </w:pPr>
      <w:r>
        <w:t xml:space="preserve">Connect the source and ingest its metadata (Connectivity), where it is automatically catalogued (Data Catalog); classify sensitive data (Classification); run quality checks (Data Quality); assign it to a domain with ownership and access (Domains, Access Control); and certify it once criteria are met (Certification).</w:t>
      </w:r>
    </w:p>
    <w:p>
      <w:pPr>
        <w:pStyle w:val="Heading3"/>
      </w:pPr>
      <w:r>
        <w:t xml:space="preserve">2. Find and trust data for a decision</w:t>
      </w:r>
    </w:p>
    <w:p>
      <w:pPr>
        <w:spacing w:after="130"/>
      </w:pPr>
      <w:r>
        <w:t xml:space="preserve">Search the catalog, confirm meaning via the business glossary, and check the quality score and certification status before using the data (Data Catalog, Business Glossary, Data Quality, Certification).</w:t>
      </w:r>
    </w:p>
    <w:p>
      <w:pPr>
        <w:pStyle w:val="Heading3"/>
      </w:pPr>
      <w:r>
        <w:t xml:space="preserve">3. Control access to sensitive data</w:t>
      </w:r>
    </w:p>
    <w:p>
      <w:pPr>
        <w:spacing w:after="130"/>
      </w:pPr>
      <w:r>
        <w:t xml:space="preserve">Classify the data as PII, PHI, or PCI-DSS, author or scope a policy for its handling, and enforce domain-scoped, role-based access (Classification, Policy Management, Access Control).</w:t>
      </w:r>
    </w:p>
    <w:p>
      <w:pPr>
        <w:pStyle w:val="Heading3"/>
      </w:pPr>
      <w:r>
        <w:t xml:space="preserve">4. Demonstrate regulatory compliance</w:t>
      </w:r>
    </w:p>
    <w:p>
      <w:pPr>
        <w:spacing w:after="130"/>
      </w:pPr>
      <w:r>
        <w:t xml:space="preserve">Link regulations to the policies that satisfy them, evaluate the estate continuously, review compliance scores and control status, and export audit evidence (Policy Management, Audit &amp; Activity History).</w:t>
      </w:r>
    </w:p>
    <w:p>
      <w:pPr>
        <w:pStyle w:val="Heading3"/>
      </w:pPr>
      <w:r>
        <w:t xml:space="preserve">5. Assess impact before a change</w:t>
      </w:r>
    </w:p>
    <w:p>
      <w:pPr>
        <w:spacing w:after="130"/>
      </w:pPr>
      <w:r>
        <w:t xml:space="preserve">Trace upstream and downstream dependencies, including at column level, to understand what a change will affect (Data Lineage).</w:t>
      </w:r>
    </w:p>
    <w:p>
      <w:pPr>
        <w:pStyle w:val="Heading3"/>
      </w:pPr>
      <w:r>
        <w:t xml:space="preserve">6. Stand up federated governance for a business area</w:t>
      </w:r>
    </w:p>
    <w:p>
      <w:pPr>
        <w:spacing w:after="130"/>
      </w:pPr>
      <w:r>
        <w:t xml:space="preserve">Create a domain, assign its owning team and stewards, organize its assets, and publish curated data products (Data Domains &amp; Data Products, Access Control).</w:t>
      </w:r>
    </w:p>
    <w:p>
      <w:r>
        <w:br w:type="page"/>
      </w:r>
    </w:p>
    <w:p>
      <w:pPr>
        <w:pStyle w:val="Heading1"/>
      </w:pPr>
      <w:r>
        <w:t xml:space="preserve">Architecture Overview</w:t>
      </w:r>
    </w:p>
    <w:p>
      <w:pPr>
        <w:spacing w:after="120"/>
      </w:pPr>
      <w:r>
        <w:rPr>
          <w:i/>
          <w:iCs/>
          <w:color w:val="55627A"/>
        </w:rPr>
        <w:t xml:space="preserve">Conceptual — described only from components documented in the source. Deployment, storage, and security architecture are not specified in the source (see Assumptions &amp; Gaps).</w:t>
      </w:r>
    </w:p>
    <w:p>
      <w:pPr>
        <w:pStyle w:val="ListParagraph"/>
        <w:numPr>
          <w:ilvl w:val="0"/>
          <w:numId w:val="2"/>
        </w:numPr>
        <w:spacing w:after="40"/>
      </w:pPr>
      <w:r>
        <w:rPr>
          <w:b/>
          <w:bCs/>
        </w:rPr>
        <w:t xml:space="preserve">Connectivity layer — </w:t>
      </w:r>
      <w:r>
        <w:t xml:space="preserve">connectors that read metadata, lineage, profiles, and usage from cloud warehouses, databases, and cloud storage on a schedule or on demand, governing data in place without moving it.</w:t>
      </w:r>
    </w:p>
    <w:p>
      <w:pPr>
        <w:pStyle w:val="ListParagraph"/>
        <w:numPr>
          <w:ilvl w:val="0"/>
          <w:numId w:val="2"/>
        </w:numPr>
        <w:spacing w:after="40"/>
      </w:pPr>
      <w:r>
        <w:rPr>
          <w:b/>
          <w:bCs/>
        </w:rPr>
        <w:t xml:space="preserve">Metadata catalog — </w:t>
      </w:r>
      <w:r>
        <w:t xml:space="preserve">the central, searchable inventory of assets and their metadata, relationships (lineage), quality results, classifications, and certification status.</w:t>
      </w:r>
    </w:p>
    <w:p>
      <w:pPr>
        <w:pStyle w:val="ListParagraph"/>
        <w:numPr>
          <w:ilvl w:val="0"/>
          <w:numId w:val="2"/>
        </w:numPr>
        <w:spacing w:after="40"/>
      </w:pPr>
      <w:r>
        <w:rPr>
          <w:b/>
          <w:bCs/>
        </w:rPr>
        <w:t xml:space="preserve">Governance &amp; policy layer — </w:t>
      </w:r>
      <w:r>
        <w:t xml:space="preserve">domains and data products, roles and access policies, classification, data quality, and policy evaluation operating over the catalog.</w:t>
      </w:r>
    </w:p>
    <w:p>
      <w:pPr>
        <w:pStyle w:val="ListParagraph"/>
        <w:numPr>
          <w:ilvl w:val="0"/>
          <w:numId w:val="2"/>
        </w:numPr>
        <w:spacing w:after="40"/>
      </w:pPr>
      <w:r>
        <w:rPr>
          <w:b/>
          <w:bCs/>
        </w:rPr>
        <w:t xml:space="preserve">Audit layer — </w:t>
      </w:r>
      <w:r>
        <w:t xml:space="preserve">a tamper-evident activity history spanning assets, domains, data products, and policies.</w:t>
      </w:r>
    </w:p>
    <w:p>
      <w:pPr>
        <w:spacing w:after="130"/>
      </w:pPr>
      <w:r>
        <w:t xml:space="preserve">Functionally, sources feed the catalog through connectivity; governance, quality, classification, and policy operate on the catalogued assets; access roles govern who may act on them; and every action is recorded in the audit layer.</w:t>
      </w:r>
    </w:p>
    <w:p>
      <w:r>
        <w:br w:type="page"/>
      </w:r>
    </w:p>
    <w:p>
      <w:pPr>
        <w:pStyle w:val="Heading1"/>
      </w:pPr>
      <w:r>
        <w:t xml:space="preserve">Supported Data Sources</w:t>
      </w:r>
    </w:p>
    <w:p>
      <w:pPr>
        <w:spacing w:after="130"/>
      </w:pPr>
      <w:r>
        <w:t xml:space="preserve">The integrations below are taken directly from the source document.</w:t>
      </w:r>
    </w:p>
    <w:p>
      <w:pPr>
        <w:spacing w:after="130"/>
      </w:pPr>
      <w:r>
        <w:rPr>
          <w:b/>
          <w:bCs/>
          <w:color w:val="16284C"/>
        </w:rPr>
        <w:t xml:space="preserve">Connected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Category</w:t>
            </w:r>
          </w:p>
        </w:tc>
        <w:tc>
          <w:tcPr>
            <w:tcW w:type="dxa" w:w="62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Supported sources</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warehouses &amp; databases</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Snowflake, Google BigQuery, Databricks, Amazon Redshift, Oracle, MySQL, PostgreSQL</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file storage</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Amazon S3, Azure Blob</w:t>
            </w:r>
          </w:p>
        </w:tc>
      </w:tr>
    </w:tbl>
    <w:p>
      <w:pPr>
        <w:spacing w:after="60"/>
      </w:pPr>
      <w:r>
        <w:t xml:space="preserve"/>
      </w:r>
    </w:p>
    <w:p>
      <w:pPr>
        <w:spacing w:after="130"/>
      </w:pPr>
      <w:r>
        <w:rPr>
          <w:b/>
          <w:bCs/>
          <w:color w:val="16284C"/>
        </w:rPr>
        <w:t xml:space="preserve">Governed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Asset type</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Description</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connected database or warehouse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grouping of tables within a database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 / View</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table of data, or a saved query that behaves like a table</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Container / Object</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cloud-storage container and the objects within it</w:t>
            </w:r>
          </w:p>
        </w:tc>
      </w:tr>
    </w:tbl>
    <w:p>
      <w:pPr>
        <w:spacing w:after="60"/>
      </w:pPr>
      <w:r>
        <w:t xml:space="preserve"/>
      </w:r>
    </w:p>
    <w:p>
      <w:pPr>
        <w:spacing w:after="130"/>
      </w:pPr>
      <w:r>
        <w:rPr>
          <w:b/>
          <w:bCs/>
          <w:color w:val="16284C"/>
        </w:rPr>
        <w:t xml:space="preserve">What metadata ingestion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Captured</w:t>
            </w:r>
          </w:p>
        </w:tc>
        <w:tc>
          <w:tcPr>
            <w:tcW w:type="dxa" w:w="64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Meaning</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descriptive details added to the catalog</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relationships and data flow between assets</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Profiling</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statistics about the contents of each column</w:t>
            </w:r>
          </w:p>
        </w:tc>
      </w:tr>
      <w:tr>
        <w:tc>
          <w:tcPr>
            <w:tcW w:type="dxa" w:w="29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Usage</w:t>
            </w:r>
          </w:p>
        </w:tc>
        <w:tc>
          <w:tcPr>
            <w:tcW w:type="dxa" w:w="64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signals about how data is queried and accessed</w:t>
            </w:r>
          </w:p>
        </w:tc>
      </w:tr>
    </w:tbl>
    <w:p>
      <w:r>
        <w:br w:type="page"/>
      </w:r>
    </w:p>
    <w:p>
      <w:pPr>
        <w:pStyle w:val="Heading1"/>
      </w:pPr>
      <w:r>
        <w:t xml:space="preserve">Business Outcomes</w:t>
      </w:r>
    </w:p>
    <w:p>
      <w:pPr>
        <w:spacing w:after="130"/>
      </w:pPr>
      <w:r>
        <w:t xml:space="preserve">The table maps documented capabilities to the business outcomes they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Business outcome</w:t>
            </w:r>
          </w:p>
        </w:tc>
        <w:tc>
          <w:tcPr>
            <w:tcW w:type="dxa" w:w="59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Enabling capabilities</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Faster, safer access to the right data</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Catalog, Business Glossary, Data Lineage</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Trustworthy data for decisions</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Quality, Certification</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Sensitive data identified and protected</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Classification &amp; Tagging, Access Control, Policy Management</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Continuous, evidence-backed compliance</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Policy Management, Audit &amp; Activity History</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Governance that scales with the business</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Domains &amp; Data Products, Access Control &amp; Roles</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Lower effort to keep governance current</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Connectivity &amp; Metadata Ingestion (automatic cataloging)</w:t>
            </w:r>
          </w:p>
        </w:tc>
      </w:tr>
      <w:tr>
        <w:tc>
          <w:tcPr>
            <w:tcW w:type="dxa" w:w="3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Accountability and audit-readiness</w:t>
            </w:r>
          </w:p>
        </w:tc>
        <w:tc>
          <w:tcPr>
            <w:tcW w:type="dxa" w:w="59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Audit &amp; Activity History</w:t>
            </w:r>
          </w:p>
        </w:tc>
      </w:tr>
    </w:tbl>
    <w:p>
      <w:r>
        <w:br w:type="page"/>
      </w:r>
    </w:p>
    <w:p>
      <w:pPr>
        <w:pStyle w:val="Heading1"/>
      </w:pPr>
      <w:r>
        <w:t xml:space="preserve">Glossary</w:t>
      </w:r>
    </w:p>
    <w:p>
      <w:pPr>
        <w:spacing w:after="130"/>
      </w:pPr>
      <w:r>
        <w:t xml:space="preserve">Defined from terminology present in the source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Term</w:t>
            </w:r>
          </w:p>
        </w:tc>
        <w:tc>
          <w:tcPr>
            <w:tcW w:type="dxa" w:w="66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governance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practice of keeping data organized, trusted, controlled, and compliant.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information that describes data — its name, type, owner, and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catalog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searchable inventory of the organization’s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map of where data comes from and where it flows to.</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structure of a database — how its tables and columns are arranged.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Column / field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attribute in a table, such as email or order amount.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Glossary term</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an agreed business definition linked to the real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Classification / label / tag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marker on data describing its sensitivity or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PII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Personally Identifiable Information — personal data such as name, email, or address.</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PHI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Protected Health Information — health data protected by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PCI-DSS</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payment-card data subject to the card-industry security standard.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Domain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business area used to organize and own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product</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curated, ready-to-use set of data packaged for consumption.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Policy</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rule for how a category of data must be handled.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Control</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specific, checkable requirement within a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person responsible for curating data in a business area.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Certification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formal signal that data has been reviewed and can be trusted.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Audit 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permanent record of every change — who did what, and when.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Connector</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link that lets the platform read information from a source system.</w:t>
            </w:r>
          </w:p>
        </w:tc>
      </w:tr>
    </w:tbl>
    <w:p>
      <w:r>
        <w:br w:type="page"/>
      </w:r>
    </w:p>
    <w:p>
      <w:pPr>
        <w:pStyle w:val="Heading1"/>
      </w:pPr>
      <w:r>
        <w:t xml:space="preserve">Assumptions &amp; Gaps</w:t>
      </w:r>
    </w:p>
    <w:p>
      <w:pPr>
        <w:spacing w:after="130"/>
      </w:pPr>
      <w:r>
        <w:t xml:space="preserve">Recorded separately, in line with the requirement to mark assumptions and highlight gaps rather than assume functionality.</w:t>
      </w:r>
    </w:p>
    <w:p>
      <w:pPr>
        <w:pStyle w:val="ListParagraph"/>
        <w:numPr>
          <w:ilvl w:val="0"/>
          <w:numId w:val="2"/>
        </w:numPr>
        <w:spacing w:after="40"/>
      </w:pPr>
      <w:r>
        <w:rPr>
          <w:b/>
          <w:bCs/>
        </w:rPr>
        <w:t xml:space="preserve">Vision &amp; Mission — </w:t>
      </w:r>
      <w:r>
        <w:t xml:space="preserve">the source does not contain an explicit vision or mission statement; those provided are proposed summaries of the documented intent and require ratification.</w:t>
      </w:r>
    </w:p>
    <w:p>
      <w:pPr>
        <w:pStyle w:val="ListParagraph"/>
        <w:numPr>
          <w:ilvl w:val="0"/>
          <w:numId w:val="2"/>
        </w:numPr>
        <w:spacing w:after="40"/>
      </w:pPr>
      <w:r>
        <w:rPr>
          <w:b/>
          <w:bCs/>
        </w:rPr>
        <w:t xml:space="preserve">Personas — </w:t>
      </w:r>
      <w:r>
        <w:t xml:space="preserve">the source defines four enforced roles (Admin, Connection Admin, Steward, Viewer). The six leadership personas are mapped onto these roles and onto ownership; the mapping is interpretive.</w:t>
      </w:r>
    </w:p>
    <w:p>
      <w:pPr>
        <w:pStyle w:val="ListParagraph"/>
        <w:numPr>
          <w:ilvl w:val="0"/>
          <w:numId w:val="2"/>
        </w:numPr>
        <w:spacing w:after="40"/>
      </w:pPr>
      <w:r>
        <w:rPr>
          <w:b/>
          <w:bCs/>
        </w:rPr>
        <w:t xml:space="preserve">Architecture — </w:t>
      </w:r>
      <w:r>
        <w:t xml:space="preserve">the source documents capabilities and connectivity behavior but does not specify deployment, storage, security, or scalability architecture; the architecture section is therefore conceptual.</w:t>
      </w:r>
    </w:p>
    <w:p>
      <w:pPr>
        <w:pStyle w:val="ListParagraph"/>
        <w:numPr>
          <w:ilvl w:val="0"/>
          <w:numId w:val="2"/>
        </w:numPr>
        <w:spacing w:after="40"/>
      </w:pPr>
      <w:r>
        <w:rPr>
          <w:b/>
          <w:bCs/>
        </w:rPr>
        <w:t xml:space="preserve">Regulation figures — </w:t>
      </w:r>
      <w:r>
        <w:t xml:space="preserve">compliance figures associated with the regulation register are illustrative of its structure and are not certified compliance results.</w:t>
      </w:r>
    </w:p>
    <w:p>
      <w:pPr>
        <w:pStyle w:val="ListParagraph"/>
        <w:numPr>
          <w:ilvl w:val="0"/>
          <w:numId w:val="2"/>
        </w:numPr>
        <w:spacing w:after="40"/>
      </w:pPr>
      <w:r>
        <w:rPr>
          <w:b/>
          <w:bCs/>
        </w:rPr>
        <w:t xml:space="preserve">Out of documented scope — </w:t>
      </w:r>
      <w:r>
        <w:t xml:space="preserve">capabilities not present in the source are intentionally excluded and should not be assumed — including single sign-on / directory integration, stewardship approval workflows, observability, usage analytics, and billing.</w:t>
      </w:r>
    </w:p>
    <w:p>
      <w:pPr>
        <w:pStyle w:val="ListParagraph"/>
        <w:numPr>
          <w:ilvl w:val="0"/>
          <w:numId w:val="2"/>
        </w:numPr>
        <w:spacing w:after="40"/>
      </w:pPr>
      <w:r>
        <w:rPr>
          <w:b/>
          <w:bCs/>
        </w:rPr>
        <w:t xml:space="preserve">Roadmap — </w:t>
      </w:r>
      <w:r>
        <w:t xml:space="preserve">the source contains no roadmap items; none are included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6284C"/>
      <w:sz w:val="25"/>
      <w:szCs w:val="25"/>
    </w:rPr>
  </w:style>
  <w:style w:type="paragraph" w:styleId="Heading3">
    <w:name w:val="Heading 3"/>
    <w:basedOn w:val="Normal"/>
    <w:next w:val="Normal"/>
    <w:qFormat/>
    <w:pPr>
      <w:spacing w:after="70" w:before="160"/>
      <w:outlineLvl w:val="2"/>
    </w:pPr>
    <w:rPr>
      <w:rFonts w:ascii="Arial" w:cs="Arial" w:eastAsia="Arial" w:hAnsi="Arial"/>
      <w:b/>
      <w:bCs/>
      <w:color w:val="3052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 (Leadership Edition)</dc:title>
  <dc:creator>Solix Technologies</dc:creator>
  <cp:lastModifiedBy>Un-named</cp:lastModifiedBy>
  <cp:revision>1</cp:revision>
  <dcterms:created xsi:type="dcterms:W3CDTF">2026-06-03T12:53:40.587Z</dcterms:created>
  <dcterms:modified xsi:type="dcterms:W3CDTF">2026-06-03T12:53:40.587Z</dcterms:modified>
</cp:coreProperties>
</file>

<file path=docProps/custom.xml><?xml version="1.0" encoding="utf-8"?>
<Properties xmlns="http://schemas.openxmlformats.org/officeDocument/2006/custom-properties" xmlns:vt="http://schemas.openxmlformats.org/officeDocument/2006/docPropsVTypes"/>
</file>