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jc w:val="center"/>
      </w:pPr>
      <w:r>
        <w:rPr>
          <w:b/>
          <w:bCs/>
          <w:color w:val="16284C"/>
          <w:sz w:val="64"/>
          <w:szCs w:val="64"/>
        </w:rPr>
        <w:t xml:space="preserve">SOLIX EDG</w:t>
      </w:r>
    </w:p>
    <w:p>
      <w:pPr>
        <w:spacing w:after="80"/>
        <w:jc w:val="center"/>
      </w:pPr>
      <w:r>
        <w:rPr>
          <w:b/>
          <w:bCs/>
          <w:color w:val="C75B12"/>
          <w:sz w:val="34"/>
          <w:szCs w:val="34"/>
        </w:rPr>
        <w:t xml:space="preserve">Enterprise Data Governance</w:t>
      </w:r>
    </w:p>
    <w:p>
      <w:pPr>
        <w:spacing w:after="40"/>
        <w:jc w:val="center"/>
      </w:pPr>
      <w:r>
        <w:rPr>
          <w:color w:val="1A2233"/>
          <w:sz w:val="27"/>
          <w:szCs w:val="27"/>
        </w:rPr>
        <w:t xml:space="preserve">Product Definition Document</w:t>
      </w:r>
    </w:p>
    <w:p>
      <w:pPr>
        <w:spacing w:after="380"/>
        <w:jc w:val="center"/>
      </w:pPr>
      <w:r>
        <w:rPr>
          <w:i/>
          <w:iCs/>
          <w:color w:val="55627A"/>
          <w:sz w:val="20"/>
          <w:szCs w:val="20"/>
        </w:rPr>
        <w:t xml:space="preserve">A capability overview of what Solix EDG delivers today</w:t>
      </w:r>
    </w:p>
    <w:p>
      <w:pPr>
        <w:spacing w:after="30"/>
        <w:jc w:val="center"/>
      </w:pPr>
      <w:r>
        <w:rPr>
          <w:sz w:val="20"/>
          <w:szCs w:val="20"/>
        </w:rPr>
        <w:t xml:space="preserve">Version 3.0  ·  June 2026</w:t>
      </w:r>
    </w:p>
    <w:p>
      <w:pPr>
        <w:jc w:val="center"/>
      </w:pPr>
      <w:r>
        <w:rPr>
          <w:color w:val="55627A"/>
          <w:sz w:val="18"/>
          <w:szCs w:val="18"/>
        </w:rPr>
        <w:t xml:space="preserve">Confidential — Solix Technologies, Inc.</w:t>
      </w:r>
    </w:p>
    <w:p>
      <w:r>
        <w:br w:type="page"/>
      </w:r>
    </w:p>
    <w:p>
      <w:pPr>
        <w:pStyle w:val="Heading1"/>
      </w:pPr>
      <w:r>
        <w:t xml:space="preserve">Table of Contents</w:t>
      </w:r>
    </w:p>
    <w:sdt>
      <w:sdtPr>
        <w:alias w:val="Table of Contents"/>
      </w:sdtPr>
      <w:sdtContent>
        <w:p>
          <w:r>
            <w:fldChar w:fldCharType="begin" w:dirty="true"/>
            <w:instrText xml:space="preserve">TOC \h \o "1-1"</w:instrText>
            <w:fldChar w:fldCharType="separate"/>
          </w:r>
        </w:p>
        <w:p>
          <w:r>
            <w:fldChar w:fldCharType="end"/>
          </w:r>
        </w:p>
      </w:sdtContent>
    </w:sdt>
    <w:p>
      <w:r>
        <w:br w:type="page"/>
      </w:r>
    </w:p>
    <w:p>
      <w:pPr>
        <w:pStyle w:val="Heading1"/>
      </w:pPr>
      <w:r>
        <w:t xml:space="preserve">Executive Summary</w:t>
      </w:r>
    </w:p>
    <w:p>
      <w:pPr>
        <w:spacing w:after="140"/>
      </w:pPr>
      <w:r>
        <w:t xml:space="preserve">Solix EDG is an enterprise data governance platform that turns a sprawling, opaque data estate into a governed, trustworthy, and well-understood asset. It brings the organization’s data — across cloud warehouses, databases, and object storage — into a single governed catalog where every asset has an owner, a known level of quality, a clear classification, and an enforceable access policy.</w:t>
      </w:r>
    </w:p>
    <w:p>
      <w:pPr>
        <w:spacing w:after="140"/>
      </w:pPr>
      <w:r>
        <w:t xml:space="preserve">The platform unifies the capabilities that enterprises usually buy as separate tools: a data catalog and metadata repository, end-to-end data lineage, a business glossary, data classification and tagging, data quality management, domain-based organization, fine-grained access control and policy, certification of trusted data, regulatory compliance management, and a complete audit trail. Together these let an organization answer the questions that matter — what data do we have, who owns it, can we trust it, how is it classified, and who is allowed to use it.</w:t>
      </w:r>
    </w:p>
    <w:p>
      <w:pPr>
        <w:spacing w:after="140"/>
      </w:pPr>
      <w:r>
        <w:t xml:space="preserve">This document describes the capabilities Solix EDG delivers today, organized by governance area. Each section explains the capability, the value it provides, and what is supported in the current product.</w:t>
      </w:r>
    </w:p>
    <w:p>
      <w:r>
        <w:br w:type="page"/>
      </w:r>
    </w:p>
    <w:p>
      <w:pPr>
        <w:pStyle w:val="Heading1"/>
      </w:pPr>
      <w:r>
        <w:t xml:space="preserve">1. Data Catalog &amp; Metadata Management</w:t>
      </w:r>
    </w:p>
    <w:p>
      <w:pPr>
        <w:spacing w:after="140"/>
      </w:pPr>
      <w:r>
        <w:t xml:space="preserve">Solix EDG maintains a single, searchable catalog of all governed data assets, automatically populated from connected sources and continuously refreshed as the estate changes. It is the foundation on which every other governance capability builds: a trustworthy, up-to-date inventory of the organization’s data.</w:t>
      </w:r>
    </w:p>
    <w:p>
      <w:pPr>
        <w:spacing w:after="140"/>
      </w:pPr>
      <w:r>
        <w:t xml:space="preserve">Each asset is enriched with both technical and business context, so that any authorized person can understand what an asset is, where it sits, who is responsible for it, and whether it can be trusted.</w:t>
      </w:r>
    </w:p>
    <w:p>
      <w:pPr>
        <w:spacing w:after="140"/>
      </w:pPr>
      <w:r>
        <w:rPr>
          <w:b/>
          <w:bCs/>
          <w:color w:val="16284C"/>
        </w:rPr>
        <w:t xml:space="preserve">Supported today:</w:t>
      </w:r>
    </w:p>
    <w:p>
      <w:pPr>
        <w:pStyle w:val="ListParagraph"/>
        <w:numPr>
          <w:ilvl w:val="0"/>
          <w:numId w:val="2"/>
        </w:numPr>
        <w:spacing w:after="40"/>
      </w:pPr>
      <w:r>
        <w:rPr>
          <w:b/>
          <w:bCs/>
        </w:rPr>
        <w:t xml:space="preserve">Unified catalog — </w:t>
      </w:r>
      <w:r>
        <w:t xml:space="preserve">databases, schemas, tables, views, and storage containers and objects, cataloged across all connected sources.</w:t>
      </w:r>
    </w:p>
    <w:p>
      <w:pPr>
        <w:pStyle w:val="ListParagraph"/>
        <w:numPr>
          <w:ilvl w:val="0"/>
          <w:numId w:val="2"/>
        </w:numPr>
        <w:spacing w:after="40"/>
      </w:pPr>
      <w:r>
        <w:rPr>
          <w:b/>
          <w:bCs/>
        </w:rPr>
        <w:t xml:space="preserve">Business &amp; technical metadata — </w:t>
      </w:r>
      <w:r>
        <w:t xml:space="preserve">descriptions and documentation, business and technical owners, assigned stewards, business domain, tags and classifications, and linked glossary terms.</w:t>
      </w:r>
    </w:p>
    <w:p>
      <w:pPr>
        <w:pStyle w:val="ListParagraph"/>
        <w:numPr>
          <w:ilvl w:val="0"/>
          <w:numId w:val="2"/>
        </w:numPr>
        <w:spacing w:after="40"/>
      </w:pPr>
      <w:r>
        <w:rPr>
          <w:b/>
          <w:bCs/>
        </w:rPr>
        <w:t xml:space="preserve">Asset signals — </w:t>
      </w:r>
      <w:r>
        <w:t xml:space="preserve">quality score, certification status, data freshness, size and row counts, and a business-criticality tier (Critical, Important, Exploratory).</w:t>
      </w:r>
    </w:p>
    <w:p>
      <w:pPr>
        <w:pStyle w:val="ListParagraph"/>
        <w:numPr>
          <w:ilvl w:val="0"/>
          <w:numId w:val="2"/>
        </w:numPr>
        <w:spacing w:after="40"/>
      </w:pPr>
      <w:r>
        <w:rPr>
          <w:b/>
          <w:bCs/>
        </w:rPr>
        <w:t xml:space="preserve">Column-level detail — </w:t>
      </w:r>
      <w:r>
        <w:t xml:space="preserve">per-column data type, nullability, primary/foreign keys, descriptions, sensitivity flags (such as PII), and column profiles (null %, distinct %, min/max/average, and sample values).</w:t>
      </w:r>
    </w:p>
    <w:p>
      <w:pPr>
        <w:pStyle w:val="ListParagraph"/>
        <w:numPr>
          <w:ilvl w:val="0"/>
          <w:numId w:val="2"/>
        </w:numPr>
        <w:spacing w:after="40"/>
      </w:pPr>
      <w:r>
        <w:rPr>
          <w:b/>
          <w:bCs/>
        </w:rPr>
        <w:t xml:space="preserve">Discovery — </w:t>
      </w:r>
      <w:r>
        <w:t xml:space="preserve">find assets by name, by fully-qualified name, or by tag, and narrow results by connector, connection, asset type, domain, owner, tag, or glossary term.</w:t>
      </w:r>
    </w:p>
    <w:p>
      <w:pPr>
        <w:spacing w:after="40"/>
      </w:pPr>
      <w:r>
        <w:t xml:space="preserve"/>
      </w:r>
    </w:p>
    <w:p>
      <w:pPr>
        <w:pStyle w:val="Heading1"/>
      </w:pPr>
      <w:r>
        <w:t xml:space="preserve">2. Data Lineage</w:t>
      </w:r>
    </w:p>
    <w:p>
      <w:pPr>
        <w:spacing w:after="140"/>
      </w:pPr>
      <w:r>
        <w:t xml:space="preserve">Solix EDG captures how data flows and transforms across the estate, giving the organization end-to-end visibility from source systems through to the dashboards and models that consume the data.</w:t>
      </w:r>
    </w:p>
    <w:p>
      <w:pPr>
        <w:spacing w:after="140"/>
      </w:pPr>
      <w:r>
        <w:t xml:space="preserve">Lineage answers two questions that are otherwise expensive to investigate: where did this data come from, and what will be affected if it changes.</w:t>
      </w:r>
    </w:p>
    <w:p>
      <w:pPr>
        <w:spacing w:after="140"/>
      </w:pPr>
      <w:r>
        <w:rPr>
          <w:b/>
          <w:bCs/>
          <w:color w:val="16284C"/>
        </w:rPr>
        <w:t xml:space="preserve">Supported today:</w:t>
      </w:r>
    </w:p>
    <w:p>
      <w:pPr>
        <w:pStyle w:val="ListParagraph"/>
        <w:numPr>
          <w:ilvl w:val="0"/>
          <w:numId w:val="2"/>
        </w:numPr>
        <w:spacing w:after="40"/>
      </w:pPr>
      <w:r>
        <w:rPr>
          <w:b/>
          <w:bCs/>
        </w:rPr>
        <w:t xml:space="preserve">Asset-level lineage — </w:t>
      </w:r>
      <w:r>
        <w:t xml:space="preserve">upstream sources and downstream consumers — pipelines, dashboards, and models — for any asset.</w:t>
      </w:r>
    </w:p>
    <w:p>
      <w:pPr>
        <w:pStyle w:val="ListParagraph"/>
        <w:numPr>
          <w:ilvl w:val="0"/>
          <w:numId w:val="2"/>
        </w:numPr>
        <w:spacing w:after="40"/>
      </w:pPr>
      <w:r>
        <w:rPr>
          <w:b/>
          <w:bCs/>
        </w:rPr>
        <w:t xml:space="preserve">Column-level lineage — </w:t>
      </w:r>
      <w:r>
        <w:t xml:space="preserve">trace a specific field through its transformations across systems.</w:t>
      </w:r>
    </w:p>
    <w:p>
      <w:pPr>
        <w:pStyle w:val="ListParagraph"/>
        <w:numPr>
          <w:ilvl w:val="0"/>
          <w:numId w:val="2"/>
        </w:numPr>
        <w:spacing w:after="40"/>
      </w:pPr>
      <w:r>
        <w:rPr>
          <w:b/>
          <w:bCs/>
        </w:rPr>
        <w:t xml:space="preserve">Impact analysis &amp; provenance — </w:t>
      </w:r>
      <w:r>
        <w:t xml:space="preserve">understand the blast radius of a change and document the origin of data for trust and audit.</w:t>
      </w:r>
    </w:p>
    <w:p>
      <w:pPr>
        <w:spacing w:after="40"/>
      </w:pPr>
      <w:r>
        <w:t xml:space="preserve"/>
      </w:r>
    </w:p>
    <w:p>
      <w:pPr>
        <w:pStyle w:val="Heading1"/>
      </w:pPr>
      <w:r>
        <w:t xml:space="preserve">3. Business Glossary</w:t>
      </w:r>
    </w:p>
    <w:p>
      <w:pPr>
        <w:spacing w:after="140"/>
      </w:pPr>
      <w:r>
        <w:t xml:space="preserve">The business glossary establishes a shared, governed vocabulary so that terms such as “active customer” or “net revenue” mean the same thing across the organization. Defined terms are linked to the data assets that implement them, connecting business meaning to physical data.</w:t>
      </w:r>
    </w:p>
    <w:p>
      <w:pPr>
        <w:spacing w:after="140"/>
      </w:pPr>
      <w:r>
        <w:t xml:space="preserve">This reduces conflicting definitions between departments and makes the catalog meaningful to business users, not just engineers.</w:t>
      </w:r>
    </w:p>
    <w:p>
      <w:pPr>
        <w:spacing w:after="140"/>
      </w:pPr>
      <w:r>
        <w:rPr>
          <w:b/>
          <w:bCs/>
          <w:color w:val="16284C"/>
        </w:rPr>
        <w:t xml:space="preserve">Supported today:</w:t>
      </w:r>
    </w:p>
    <w:p>
      <w:pPr>
        <w:pStyle w:val="ListParagraph"/>
        <w:numPr>
          <w:ilvl w:val="0"/>
          <w:numId w:val="2"/>
        </w:numPr>
        <w:spacing w:after="40"/>
      </w:pPr>
      <w:r>
        <w:rPr>
          <w:b/>
          <w:bCs/>
        </w:rPr>
        <w:t xml:space="preserve">Governed terms — </w:t>
      </w:r>
      <w:r>
        <w:t xml:space="preserve">each term carries a clear definition, abbreviation, synonyms, related links, owner, steward, domain, and tags.</w:t>
      </w:r>
    </w:p>
    <w:p>
      <w:pPr>
        <w:pStyle w:val="ListParagraph"/>
        <w:numPr>
          <w:ilvl w:val="0"/>
          <w:numId w:val="2"/>
        </w:numPr>
        <w:spacing w:after="40"/>
      </w:pPr>
      <w:r>
        <w:rPr>
          <w:b/>
          <w:bCs/>
        </w:rPr>
        <w:t xml:space="preserve">Term lifecycle — </w:t>
      </w:r>
      <w:r>
        <w:t xml:space="preserve">terms carry a status (draft, in review, approved, or deprecated) so consumers know which definitions are authoritative.</w:t>
      </w:r>
    </w:p>
    <w:p>
      <w:pPr>
        <w:pStyle w:val="ListParagraph"/>
        <w:numPr>
          <w:ilvl w:val="0"/>
          <w:numId w:val="2"/>
        </w:numPr>
        <w:spacing w:after="40"/>
      </w:pPr>
      <w:r>
        <w:rPr>
          <w:b/>
          <w:bCs/>
        </w:rPr>
        <w:t xml:space="preserve">Glossary organization — </w:t>
      </w:r>
      <w:r>
        <w:t xml:space="preserve">terms are grouped into glossaries and categories.</w:t>
      </w:r>
    </w:p>
    <w:p>
      <w:pPr>
        <w:pStyle w:val="ListParagraph"/>
        <w:numPr>
          <w:ilvl w:val="0"/>
          <w:numId w:val="2"/>
        </w:numPr>
        <w:spacing w:after="40"/>
      </w:pPr>
      <w:r>
        <w:rPr>
          <w:b/>
          <w:bCs/>
        </w:rPr>
        <w:t xml:space="preserve">Coverage — </w:t>
      </w:r>
      <w:r>
        <w:t xml:space="preserve">visibility into how much of the estate is linked to defined business terms.</w:t>
      </w:r>
    </w:p>
    <w:p>
      <w:pPr>
        <w:spacing w:after="40"/>
      </w:pPr>
      <w:r>
        <w:t xml:space="preserve"/>
      </w:r>
    </w:p>
    <w:p>
      <w:pPr>
        <w:pStyle w:val="Heading1"/>
      </w:pPr>
      <w:r>
        <w:t xml:space="preserve">4. Data Classification &amp; Tagging</w:t>
      </w:r>
    </w:p>
    <w:p>
      <w:pPr>
        <w:spacing w:after="140"/>
      </w:pPr>
      <w:r>
        <w:t xml:space="preserve">Solix EDG provides a governed tagging and classification framework that labels data by sensitivity and business meaning. Classification is the hinge between discovery and control: it is what drives privacy handling, policy, and compliance.</w:t>
      </w:r>
    </w:p>
    <w:p>
      <w:pPr>
        <w:spacing w:after="140"/>
      </w:pPr>
      <w:r>
        <w:t xml:space="preserve">Tags are organized into categories and reconciled with the labels that already exist in source systems, so classification stays consistent as data is ingested.</w:t>
      </w:r>
    </w:p>
    <w:p>
      <w:pPr>
        <w:spacing w:after="140"/>
      </w:pPr>
      <w:r>
        <w:rPr>
          <w:b/>
          <w:bCs/>
          <w:color w:val="16284C"/>
        </w:rPr>
        <w:t xml:space="preserve">Supported today:</w:t>
      </w:r>
    </w:p>
    <w:p>
      <w:pPr>
        <w:pStyle w:val="ListParagraph"/>
        <w:numPr>
          <w:ilvl w:val="0"/>
          <w:numId w:val="2"/>
        </w:numPr>
        <w:spacing w:after="40"/>
      </w:pPr>
      <w:r>
        <w:rPr>
          <w:b/>
          <w:bCs/>
        </w:rPr>
        <w:t xml:space="preserve">Tag categories — </w:t>
      </w:r>
      <w:r>
        <w:t xml:space="preserve">sensitivity, regulatory, business, and custom categories.</w:t>
      </w:r>
    </w:p>
    <w:p>
      <w:pPr>
        <w:pStyle w:val="ListParagraph"/>
        <w:numPr>
          <w:ilvl w:val="0"/>
          <w:numId w:val="2"/>
        </w:numPr>
        <w:spacing w:after="40"/>
      </w:pPr>
      <w:r>
        <w:rPr>
          <w:b/>
          <w:bCs/>
        </w:rPr>
        <w:t xml:space="preserve">Built-in sensitivity classifications — </w:t>
      </w:r>
      <w:r>
        <w:t xml:space="preserve">PII, PHI, and PCI-DSS, each with a description, a governance-required flag, and usage tracking across the estate.</w:t>
      </w:r>
    </w:p>
    <w:p>
      <w:pPr>
        <w:pStyle w:val="ListParagraph"/>
        <w:numPr>
          <w:ilvl w:val="0"/>
          <w:numId w:val="2"/>
        </w:numPr>
        <w:spacing w:after="40"/>
      </w:pPr>
      <w:r>
        <w:rPr>
          <w:b/>
          <w:bCs/>
        </w:rPr>
        <w:t xml:space="preserve">Classification-driven control — </w:t>
      </w:r>
      <w:r>
        <w:t xml:space="preserve">classifications feed downstream access policy and compliance.</w:t>
      </w:r>
    </w:p>
    <w:p>
      <w:pPr>
        <w:pStyle w:val="ListParagraph"/>
        <w:numPr>
          <w:ilvl w:val="0"/>
          <w:numId w:val="2"/>
        </w:numPr>
        <w:spacing w:after="40"/>
      </w:pPr>
      <w:r>
        <w:rPr>
          <w:b/>
          <w:bCs/>
        </w:rPr>
        <w:t xml:space="preserve">Source-tag reconciliation — </w:t>
      </w:r>
      <w:r>
        <w:t xml:space="preserve">tags discovered from source systems are mapped to governed EDG tags through aliases; name collisions are surfaced for resolution so source and governed labels stay aligned.</w:t>
      </w:r>
    </w:p>
    <w:p>
      <w:pPr>
        <w:spacing w:after="40"/>
      </w:pPr>
      <w:r>
        <w:t xml:space="preserve"/>
      </w:r>
    </w:p>
    <w:p>
      <w:pPr>
        <w:pStyle w:val="Heading1"/>
      </w:pPr>
      <w:r>
        <w:t xml:space="preserve">5. Data Quality</w:t>
      </w:r>
    </w:p>
    <w:p>
      <w:pPr>
        <w:spacing w:after="140"/>
      </w:pPr>
      <w:r>
        <w:t xml:space="preserve">Solix EDG makes the trustworthiness of data measurable and visible. Rather than discovering bad data after it reaches a report, the organization defines quality expectations, runs them continuously, and manages the issues they surface.</w:t>
      </w:r>
    </w:p>
    <w:p>
      <w:pPr>
        <w:spacing w:after="140"/>
      </w:pPr>
      <w:r>
        <w:t xml:space="preserve">Quality results are attached to assets and surfaced in the catalog, so consumers can see at a glance whether an asset is dependable.</w:t>
      </w:r>
    </w:p>
    <w:p>
      <w:pPr>
        <w:spacing w:after="140"/>
      </w:pPr>
      <w:r>
        <w:rPr>
          <w:b/>
          <w:bCs/>
          <w:color w:val="16284C"/>
        </w:rPr>
        <w:t xml:space="preserve">Supported today:</w:t>
      </w:r>
    </w:p>
    <w:p>
      <w:pPr>
        <w:pStyle w:val="ListParagraph"/>
        <w:numPr>
          <w:ilvl w:val="0"/>
          <w:numId w:val="2"/>
        </w:numPr>
        <w:spacing w:after="40"/>
      </w:pPr>
      <w:r>
        <w:rPr>
          <w:b/>
          <w:bCs/>
        </w:rPr>
        <w:t xml:space="preserve">Quality tests — </w:t>
      </w:r>
      <w:r>
        <w:t xml:space="preserve">define tests at table and column level across the standard quality dimensions — Accuracy, Completeness, Consistency, Timeliness, Validity, and Uniqueness.</w:t>
      </w:r>
    </w:p>
    <w:p>
      <w:pPr>
        <w:pStyle w:val="ListParagraph"/>
        <w:numPr>
          <w:ilvl w:val="0"/>
          <w:numId w:val="2"/>
        </w:numPr>
        <w:spacing w:after="40"/>
      </w:pPr>
      <w:r>
        <w:rPr>
          <w:b/>
          <w:bCs/>
        </w:rPr>
        <w:t xml:space="preserve">Reusable definitions &amp; suites — </w:t>
      </w:r>
      <w:r>
        <w:t xml:space="preserve">reusable test definitions and grouped test suites.</w:t>
      </w:r>
    </w:p>
    <w:p>
      <w:pPr>
        <w:pStyle w:val="ListParagraph"/>
        <w:numPr>
          <w:ilvl w:val="0"/>
          <w:numId w:val="2"/>
        </w:numPr>
        <w:spacing w:after="40"/>
      </w:pPr>
      <w:r>
        <w:rPr>
          <w:b/>
          <w:bCs/>
        </w:rPr>
        <w:t xml:space="preserve">Scoring &amp; runs — </w:t>
      </w:r>
      <w:r>
        <w:t xml:space="preserve">per-asset quality scores and run summaries covering assets scanned, rules evaluated, duration, and score.</w:t>
      </w:r>
    </w:p>
    <w:p>
      <w:pPr>
        <w:pStyle w:val="ListParagraph"/>
        <w:numPr>
          <w:ilvl w:val="0"/>
          <w:numId w:val="2"/>
        </w:numPr>
        <w:spacing w:after="40"/>
      </w:pPr>
      <w:r>
        <w:rPr>
          <w:b/>
          <w:bCs/>
        </w:rPr>
        <w:t xml:space="preserve">Incidents — </w:t>
      </w:r>
      <w:r>
        <w:t xml:space="preserve">failed tests raise incidents tracked through open, in review, resolved, and dismissed states, with severity and root-cause notes.</w:t>
      </w:r>
    </w:p>
    <w:p>
      <w:pPr>
        <w:pStyle w:val="ListParagraph"/>
        <w:numPr>
          <w:ilvl w:val="0"/>
          <w:numId w:val="2"/>
        </w:numPr>
        <w:spacing w:after="40"/>
      </w:pPr>
      <w:r>
        <w:rPr>
          <w:b/>
          <w:bCs/>
        </w:rPr>
        <w:t xml:space="preserve">Scheduling — </w:t>
      </w:r>
      <w:r>
        <w:t xml:space="preserve">tests run on a defined schedule or on demand.</w:t>
      </w:r>
    </w:p>
    <w:p>
      <w:pPr>
        <w:spacing w:after="40"/>
      </w:pPr>
      <w:r>
        <w:t xml:space="preserve"/>
      </w:r>
    </w:p>
    <w:p>
      <w:pPr>
        <w:pStyle w:val="Heading1"/>
      </w:pPr>
      <w:r>
        <w:t xml:space="preserve">6. Data Domains &amp; Data Products</w:t>
      </w:r>
    </w:p>
    <w:p>
      <w:pPr>
        <w:spacing w:after="140"/>
      </w:pPr>
      <w:r>
        <w:t xml:space="preserve">Solix EDG organizes the estate into business-aligned domains, so that governance is owned close to the data rather than centrally bottlenecked. Within domains, curated data products package trusted data for consumption.</w:t>
      </w:r>
    </w:p>
    <w:p>
      <w:pPr>
        <w:spacing w:after="140"/>
      </w:pPr>
      <w:r>
        <w:t xml:space="preserve">This federated structure lets each business area own and steward its own data within enterprise-wide standards.</w:t>
      </w:r>
    </w:p>
    <w:p>
      <w:pPr>
        <w:spacing w:after="140"/>
      </w:pPr>
      <w:r>
        <w:rPr>
          <w:b/>
          <w:bCs/>
          <w:color w:val="16284C"/>
        </w:rPr>
        <w:t xml:space="preserve">Supported today:</w:t>
      </w:r>
    </w:p>
    <w:p>
      <w:pPr>
        <w:pStyle w:val="ListParagraph"/>
        <w:numPr>
          <w:ilvl w:val="0"/>
          <w:numId w:val="2"/>
        </w:numPr>
        <w:spacing w:after="40"/>
      </w:pPr>
      <w:r>
        <w:rPr>
          <w:b/>
          <w:bCs/>
        </w:rPr>
        <w:t xml:space="preserve">Data domains — </w:t>
      </w:r>
      <w:r>
        <w:t xml:space="preserve">business-aligned groupings of assets, each with owners, stewards, domain experts, tags, and linked glossary terms.</w:t>
      </w:r>
    </w:p>
    <w:p>
      <w:pPr>
        <w:pStyle w:val="ListParagraph"/>
        <w:numPr>
          <w:ilvl w:val="0"/>
          <w:numId w:val="2"/>
        </w:numPr>
        <w:spacing w:after="40"/>
      </w:pPr>
      <w:r>
        <w:rPr>
          <w:b/>
          <w:bCs/>
        </w:rPr>
        <w:t xml:space="preserve">Data products — </w:t>
      </w:r>
      <w:r>
        <w:t xml:space="preserve">curated, owned bundles of data with defined inputs and outputs, organized within domains.</w:t>
      </w:r>
    </w:p>
    <w:p>
      <w:pPr>
        <w:pStyle w:val="ListParagraph"/>
        <w:numPr>
          <w:ilvl w:val="0"/>
          <w:numId w:val="2"/>
        </w:numPr>
        <w:spacing w:after="40"/>
      </w:pPr>
      <w:r>
        <w:rPr>
          <w:b/>
          <w:bCs/>
        </w:rPr>
        <w:t xml:space="preserve">Lifecycle status — </w:t>
      </w:r>
      <w:r>
        <w:t xml:space="preserve">domains and data products carry a status — active, draft, breached, or under review.</w:t>
      </w:r>
    </w:p>
    <w:p>
      <w:pPr>
        <w:pStyle w:val="ListParagraph"/>
        <w:numPr>
          <w:ilvl w:val="0"/>
          <w:numId w:val="2"/>
        </w:numPr>
        <w:spacing w:after="40"/>
      </w:pPr>
      <w:r>
        <w:rPr>
          <w:b/>
          <w:bCs/>
        </w:rPr>
        <w:t xml:space="preserve">Ownership — </w:t>
      </w:r>
      <w:r>
        <w:t xml:space="preserve">domains and products attach ownership to teams, keeping accountability durable as people change.</w:t>
      </w:r>
    </w:p>
    <w:p>
      <w:pPr>
        <w:spacing w:after="40"/>
      </w:pPr>
      <w:r>
        <w:t xml:space="preserve"/>
      </w:r>
    </w:p>
    <w:p>
      <w:pPr>
        <w:pStyle w:val="Heading1"/>
      </w:pPr>
      <w:r>
        <w:t xml:space="preserve">7. Access Control &amp; Policy</w:t>
      </w:r>
    </w:p>
    <w:p>
      <w:pPr>
        <w:spacing w:after="140"/>
      </w:pPr>
      <w:r>
        <w:t xml:space="preserve">Access in Solix EDG is governed by a precise, role- and policy-based model. Instead of bespoke per-user permissions, the organization reasons about a small set of well-understood roles, and policies define exactly who can perform which operations on which data — scoped, where needed, to a specific domain.</w:t>
      </w:r>
    </w:p>
    <w:p>
      <w:pPr>
        <w:spacing w:after="140"/>
      </w:pPr>
      <w:r>
        <w:t xml:space="preserve">This delivers least-privilege access that mirrors responsibility and is straightforward to review and audit.</w:t>
      </w:r>
    </w:p>
    <w:p>
      <w:pPr>
        <w:spacing w:after="140"/>
      </w:pPr>
      <w:r>
        <w:rPr>
          <w:b/>
          <w:bCs/>
          <w:color w:val="16284C"/>
        </w:rPr>
        <w:t xml:space="preserve">Supported today:</w:t>
      </w:r>
    </w:p>
    <w:p>
      <w:pPr>
        <w:pStyle w:val="ListParagraph"/>
        <w:numPr>
          <w:ilvl w:val="0"/>
          <w:numId w:val="2"/>
        </w:numPr>
        <w:spacing w:after="40"/>
      </w:pPr>
      <w:r>
        <w:rPr>
          <w:b/>
          <w:bCs/>
        </w:rPr>
        <w:t xml:space="preserve">Role model — </w:t>
      </w:r>
      <w:r>
        <w:t xml:space="preserve">four built-in roles — Admin, Connection Admin, Steward, and Viewer — plus the ability to create custom roles.</w:t>
      </w:r>
    </w:p>
    <w:p>
      <w:pPr>
        <w:pStyle w:val="ListParagraph"/>
        <w:numPr>
          <w:ilvl w:val="0"/>
          <w:numId w:val="2"/>
        </w:numPr>
        <w:spacing w:after="40"/>
      </w:pPr>
      <w:r>
        <w:rPr>
          <w:b/>
          <w:bCs/>
        </w:rPr>
        <w:t xml:space="preserve">Policies &amp; rules — </w:t>
      </w:r>
      <w:r>
        <w:t xml:space="preserve">roles are backed by policies composed of rules that grant or deny specific operations on specific resource types.</w:t>
      </w:r>
    </w:p>
    <w:p>
      <w:pPr>
        <w:pStyle w:val="ListParagraph"/>
        <w:numPr>
          <w:ilvl w:val="0"/>
          <w:numId w:val="2"/>
        </w:numPr>
        <w:spacing w:after="40"/>
      </w:pPr>
      <w:r>
        <w:rPr>
          <w:b/>
          <w:bCs/>
        </w:rPr>
        <w:t xml:space="preserve">Fine-grained operations — </w:t>
      </w:r>
      <w:r>
        <w:t xml:space="preserve">operation-level control (for example: view, edit description, edit owner, edit tags, edit status, create, delete, trigger ingestion) per resource type.</w:t>
      </w:r>
    </w:p>
    <w:p>
      <w:pPr>
        <w:pStyle w:val="ListParagraph"/>
        <w:numPr>
          <w:ilvl w:val="0"/>
          <w:numId w:val="2"/>
        </w:numPr>
        <w:spacing w:after="40"/>
      </w:pPr>
      <w:r>
        <w:rPr>
          <w:b/>
          <w:bCs/>
        </w:rPr>
        <w:t xml:space="preserve">Domain-scoped permissions — </w:t>
      </w:r>
      <w:r>
        <w:t xml:space="preserve">stewards and others can be limited to act only within their assigned domains, enabling federated governance at scale.</w:t>
      </w:r>
    </w:p>
    <w:p>
      <w:pPr>
        <w:pStyle w:val="ListParagraph"/>
        <w:numPr>
          <w:ilvl w:val="0"/>
          <w:numId w:val="2"/>
        </w:numPr>
        <w:spacing w:after="40"/>
      </w:pPr>
      <w:r>
        <w:rPr>
          <w:b/>
          <w:bCs/>
        </w:rPr>
        <w:t xml:space="preserve">Rule conditions — </w:t>
      </w:r>
      <w:r>
        <w:t xml:space="preserve">access can be conditioned on ownership, team membership, domain, role, tag match, certification status, or a custom expression.</w:t>
      </w:r>
    </w:p>
    <w:p>
      <w:pPr>
        <w:pStyle w:val="ListParagraph"/>
        <w:numPr>
          <w:ilvl w:val="0"/>
          <w:numId w:val="2"/>
        </w:numPr>
        <w:spacing w:after="40"/>
      </w:pPr>
      <w:r>
        <w:rPr>
          <w:b/>
          <w:bCs/>
        </w:rPr>
        <w:t xml:space="preserve">Teams, users &amp; roles — </w:t>
      </w:r>
      <w:r>
        <w:t xml:space="preserve">people are organized into teams, assigned roles, and associated with domains; ownership attaches to teams as well as individuals.</w:t>
      </w:r>
    </w:p>
    <w:p>
      <w:pPr>
        <w:pStyle w:val="ListParagraph"/>
        <w:numPr>
          <w:ilvl w:val="0"/>
          <w:numId w:val="2"/>
        </w:numPr>
        <w:spacing w:after="40"/>
      </w:pPr>
      <w:r>
        <w:rPr>
          <w:b/>
          <w:bCs/>
        </w:rPr>
        <w:t xml:space="preserve">Policy evaluation — </w:t>
      </w:r>
      <w:r>
        <w:t xml:space="preserve">policies are evaluated on a schedule and policy violations are tracked for remediation.</w:t>
      </w:r>
    </w:p>
    <w:p>
      <w:pPr>
        <w:spacing w:after="40"/>
      </w:pPr>
      <w:r>
        <w:t xml:space="preserve"/>
      </w:r>
    </w:p>
    <w:p>
      <w:pPr>
        <w:pStyle w:val="Heading1"/>
      </w:pPr>
      <w:r>
        <w:t xml:space="preserve">8. Certification &amp; Trust</w:t>
      </w:r>
    </w:p>
    <w:p>
      <w:pPr>
        <w:spacing w:after="140"/>
      </w:pPr>
      <w:r>
        <w:t xml:space="preserve">Solix EDG lets the organization formally signal which data is trustworthy. Certification turns trust from an opinion into a visible, governed status that travels with the asset wherever it appears.</w:t>
      </w:r>
    </w:p>
    <w:p>
      <w:pPr>
        <w:spacing w:after="140"/>
      </w:pPr>
      <w:r>
        <w:t xml:space="preserve">Certified, high-quality data is surfaced prominently so consumers can confidently choose the right data.</w:t>
      </w:r>
    </w:p>
    <w:p>
      <w:pPr>
        <w:spacing w:after="140"/>
      </w:pPr>
      <w:r>
        <w:rPr>
          <w:b/>
          <w:bCs/>
          <w:color w:val="16284C"/>
        </w:rPr>
        <w:t xml:space="preserve">Supported today:</w:t>
      </w:r>
    </w:p>
    <w:p>
      <w:pPr>
        <w:pStyle w:val="ListParagraph"/>
        <w:numPr>
          <w:ilvl w:val="0"/>
          <w:numId w:val="2"/>
        </w:numPr>
        <w:spacing w:after="40"/>
      </w:pPr>
      <w:r>
        <w:rPr>
          <w:b/>
          <w:bCs/>
        </w:rPr>
        <w:t xml:space="preserve">Certification status — </w:t>
      </w:r>
      <w:r>
        <w:t xml:space="preserve">assets (and glossary terms) carry a certification status — draft, in review, approved, rejected, or deprecated — alongside a quality score.</w:t>
      </w:r>
    </w:p>
    <w:p>
      <w:pPr>
        <w:pStyle w:val="ListParagraph"/>
        <w:numPr>
          <w:ilvl w:val="0"/>
          <w:numId w:val="2"/>
        </w:numPr>
        <w:spacing w:after="40"/>
      </w:pPr>
      <w:r>
        <w:rPr>
          <w:b/>
          <w:bCs/>
        </w:rPr>
        <w:t xml:space="preserve">Certification criteria — </w:t>
      </w:r>
      <w:r>
        <w:t xml:space="preserve">certification captures a checklist covering documentation, sensitive-data tagging, lineage verification, quality, and ownership.</w:t>
      </w:r>
    </w:p>
    <w:p>
      <w:pPr>
        <w:pStyle w:val="ListParagraph"/>
        <w:numPr>
          <w:ilvl w:val="0"/>
          <w:numId w:val="2"/>
        </w:numPr>
        <w:spacing w:after="40"/>
      </w:pPr>
      <w:r>
        <w:rPr>
          <w:b/>
          <w:bCs/>
        </w:rPr>
        <w:t xml:space="preserve">Trust at the point of use — </w:t>
      </w:r>
      <w:r>
        <w:t xml:space="preserve">certification and quality signals are shown wherever assets are discovered and consumed.</w:t>
      </w:r>
    </w:p>
    <w:p>
      <w:pPr>
        <w:spacing w:after="40"/>
      </w:pPr>
      <w:r>
        <w:t xml:space="preserve"/>
      </w:r>
    </w:p>
    <w:p>
      <w:pPr>
        <w:pStyle w:val="Heading1"/>
      </w:pPr>
      <w:r>
        <w:t xml:space="preserve">9. Compliance &amp; Regulatory Management</w:t>
      </w:r>
    </w:p>
    <w:p>
      <w:pPr>
        <w:spacing w:after="140"/>
      </w:pPr>
      <w:r>
        <w:t xml:space="preserve">Solix EDG connects regulation to data. By linking regulatory requirements to classified data, ownership, and access policy, compliance becomes a continuous, evidence-backed posture rather than a periodic, manual fire-drill.</w:t>
      </w:r>
    </w:p>
    <w:p>
      <w:pPr>
        <w:spacing w:after="140"/>
      </w:pPr>
      <w:r>
        <w:t xml:space="preserve">This positions the organization to demonstrate, on demand, where sensitive data resides, how it is classified, and who can access it.</w:t>
      </w:r>
    </w:p>
    <w:p>
      <w:pPr>
        <w:spacing w:after="140"/>
      </w:pPr>
      <w:r>
        <w:rPr>
          <w:b/>
          <w:bCs/>
          <w:color w:val="16284C"/>
        </w:rPr>
        <w:t xml:space="preserve">Supported today:</w:t>
      </w:r>
    </w:p>
    <w:p>
      <w:pPr>
        <w:pStyle w:val="ListParagraph"/>
        <w:numPr>
          <w:ilvl w:val="0"/>
          <w:numId w:val="2"/>
        </w:numPr>
        <w:spacing w:after="40"/>
      </w:pPr>
      <w:r>
        <w:rPr>
          <w:b/>
          <w:bCs/>
        </w:rPr>
        <w:t xml:space="preserve">Regulation register — </w:t>
      </w:r>
      <w:r>
        <w:t xml:space="preserve">maintain regulations with jurisdiction, industry, effective date, maximum penalty, and category (Privacy, Healthcare, Financial, Security).</w:t>
      </w:r>
    </w:p>
    <w:p>
      <w:pPr>
        <w:pStyle w:val="ListParagraph"/>
        <w:numPr>
          <w:ilvl w:val="0"/>
          <w:numId w:val="2"/>
        </w:numPr>
        <w:spacing w:after="40"/>
      </w:pPr>
      <w:r>
        <w:rPr>
          <w:b/>
          <w:bCs/>
        </w:rPr>
        <w:t xml:space="preserve">Regulation linking — </w:t>
      </w:r>
      <w:r>
        <w:t xml:space="preserve">link regulations to classified data and to access policy.</w:t>
      </w:r>
    </w:p>
    <w:p>
      <w:pPr>
        <w:pStyle w:val="ListParagraph"/>
        <w:numPr>
          <w:ilvl w:val="0"/>
          <w:numId w:val="2"/>
        </w:numPr>
        <w:spacing w:after="40"/>
      </w:pPr>
      <w:r>
        <w:rPr>
          <w:b/>
          <w:bCs/>
        </w:rPr>
        <w:t xml:space="preserve">Frameworks &amp; controls — </w:t>
      </w:r>
      <w:r>
        <w:t xml:space="preserve">track compliance frameworks and the controls that map to data assets.</w:t>
      </w:r>
    </w:p>
    <w:p>
      <w:pPr>
        <w:pStyle w:val="ListParagraph"/>
        <w:numPr>
          <w:ilvl w:val="0"/>
          <w:numId w:val="2"/>
        </w:numPr>
        <w:spacing w:after="40"/>
      </w:pPr>
      <w:r>
        <w:rPr>
          <w:b/>
          <w:bCs/>
        </w:rPr>
        <w:t xml:space="preserve">Posture &amp; violations — </w:t>
      </w:r>
      <w:r>
        <w:t xml:space="preserve">monitor compliance posture and surface violations for remediation.</w:t>
      </w:r>
    </w:p>
    <w:p>
      <w:pPr>
        <w:spacing w:after="40"/>
      </w:pPr>
      <w:r>
        <w:t xml:space="preserve"/>
      </w:r>
    </w:p>
    <w:p>
      <w:pPr>
        <w:pStyle w:val="Heading1"/>
      </w:pPr>
      <w:r>
        <w:t xml:space="preserve">10. Connectivity &amp; Metadata Ingestion</w:t>
      </w:r>
    </w:p>
    <w:p>
      <w:pPr>
        <w:spacing w:after="140"/>
      </w:pPr>
      <w:r>
        <w:t xml:space="preserve">Solix EDG connects to the organization’s data sources and brings their metadata under governance. Connectivity is what keeps the catalog complete and current without manual cataloging.</w:t>
      </w:r>
    </w:p>
    <w:p>
      <w:pPr>
        <w:spacing w:after="140"/>
      </w:pPr>
      <w:r>
        <w:t xml:space="preserve">The platform governs and describes data in place — it ingests metadata, lineage, and profiles; it does not move or copy the underlying data.</w:t>
      </w:r>
    </w:p>
    <w:p>
      <w:pPr>
        <w:spacing w:after="140"/>
      </w:pPr>
      <w:r>
        <w:rPr>
          <w:b/>
          <w:bCs/>
          <w:color w:val="16284C"/>
        </w:rPr>
        <w:t xml:space="preserve">Supported today:</w:t>
      </w:r>
    </w:p>
    <w:p>
      <w:pPr>
        <w:pStyle w:val="ListParagraph"/>
        <w:numPr>
          <w:ilvl w:val="0"/>
          <w:numId w:val="2"/>
        </w:numPr>
        <w:spacing w:after="40"/>
      </w:pPr>
      <w:r>
        <w:rPr>
          <w:b/>
          <w:bCs/>
        </w:rPr>
        <w:t xml:space="preserve">Source coverage — </w:t>
      </w:r>
      <w:r>
        <w:t xml:space="preserve">relational warehouses and databases and cloud object storage (see the Supported Sources reference).</w:t>
      </w:r>
    </w:p>
    <w:p>
      <w:pPr>
        <w:pStyle w:val="ListParagraph"/>
        <w:numPr>
          <w:ilvl w:val="0"/>
          <w:numId w:val="2"/>
        </w:numPr>
        <w:spacing w:after="40"/>
      </w:pPr>
      <w:r>
        <w:rPr>
          <w:b/>
          <w:bCs/>
        </w:rPr>
        <w:t xml:space="preserve">What is ingested — </w:t>
      </w:r>
      <w:r>
        <w:t xml:space="preserve">technical metadata into the catalog, data lineage, column/asset profiles, and usage signals — on a schedule or on demand.</w:t>
      </w:r>
    </w:p>
    <w:p>
      <w:pPr>
        <w:pStyle w:val="ListParagraph"/>
        <w:numPr>
          <w:ilvl w:val="0"/>
          <w:numId w:val="2"/>
        </w:numPr>
        <w:spacing w:after="40"/>
      </w:pPr>
      <w:r>
        <w:rPr>
          <w:b/>
          <w:bCs/>
        </w:rPr>
        <w:t xml:space="preserve">Scoping — </w:t>
      </w:r>
      <w:r>
        <w:t xml:space="preserve">ingestion can be scoped with include/exclude rules at the schema and table level.</w:t>
      </w:r>
    </w:p>
    <w:p>
      <w:pPr>
        <w:pStyle w:val="ListParagraph"/>
        <w:numPr>
          <w:ilvl w:val="0"/>
          <w:numId w:val="2"/>
        </w:numPr>
        <w:spacing w:after="40"/>
      </w:pPr>
      <w:r>
        <w:rPr>
          <w:b/>
          <w:bCs/>
        </w:rPr>
        <w:t xml:space="preserve">Credentials — </w:t>
      </w:r>
      <w:r>
        <w:t xml:space="preserve">connections support standard authentication methods, with credentials protected at rest.</w:t>
      </w:r>
    </w:p>
    <w:p>
      <w:pPr>
        <w:spacing w:after="40"/>
      </w:pPr>
      <w:r>
        <w:t xml:space="preserve"/>
      </w:r>
    </w:p>
    <w:p>
      <w:pPr>
        <w:pStyle w:val="Heading1"/>
      </w:pPr>
      <w:r>
        <w:t xml:space="preserve">11. Audit &amp; Activity History</w:t>
      </w:r>
    </w:p>
    <w:p>
      <w:pPr>
        <w:spacing w:after="140"/>
      </w:pPr>
      <w:r>
        <w:t xml:space="preserve">Every governed action in Solix EDG is recorded in an immutable audit history, making the platform defensible end to end. This is the evidence base auditors and leadership rely on.</w:t>
      </w:r>
    </w:p>
    <w:p>
      <w:pPr>
        <w:spacing w:after="140"/>
      </w:pPr>
      <w:r>
        <w:t xml:space="preserve">Audit history is available for assets, domains, data products, and policies.</w:t>
      </w:r>
    </w:p>
    <w:p>
      <w:pPr>
        <w:spacing w:after="140"/>
      </w:pPr>
      <w:r>
        <w:rPr>
          <w:b/>
          <w:bCs/>
          <w:color w:val="16284C"/>
        </w:rPr>
        <w:t xml:space="preserve">Supported today:</w:t>
      </w:r>
    </w:p>
    <w:p>
      <w:pPr>
        <w:pStyle w:val="ListParagraph"/>
        <w:numPr>
          <w:ilvl w:val="0"/>
          <w:numId w:val="2"/>
        </w:numPr>
        <w:spacing w:after="40"/>
      </w:pPr>
      <w:r>
        <w:rPr>
          <w:b/>
          <w:bCs/>
        </w:rPr>
        <w:t xml:space="preserve">Complete trail — </w:t>
      </w:r>
      <w:r>
        <w:t xml:space="preserve">each entry records the timestamp, category, action, details, and actor, with before/after values for changes.</w:t>
      </w:r>
    </w:p>
    <w:p>
      <w:pPr>
        <w:pStyle w:val="ListParagraph"/>
        <w:numPr>
          <w:ilvl w:val="0"/>
          <w:numId w:val="2"/>
        </w:numPr>
        <w:spacing w:after="40"/>
      </w:pPr>
      <w:r>
        <w:rPr>
          <w:b/>
          <w:bCs/>
        </w:rPr>
        <w:t xml:space="preserve">Coverage — </w:t>
      </w:r>
      <w:r>
        <w:t xml:space="preserve">activity is captured across edits, certification, access, schema changes, lineage, tagging, and system events.</w:t>
      </w:r>
    </w:p>
    <w:p>
      <w:pPr>
        <w:pStyle w:val="ListParagraph"/>
        <w:numPr>
          <w:ilvl w:val="0"/>
          <w:numId w:val="2"/>
        </w:numPr>
        <w:spacing w:after="40"/>
      </w:pPr>
      <w:r>
        <w:rPr>
          <w:b/>
          <w:bCs/>
        </w:rPr>
        <w:t xml:space="preserve">Exportable — </w:t>
      </w:r>
      <w:r>
        <w:t xml:space="preserve">audit history can be exported for reporting and review.</w:t>
      </w:r>
    </w:p>
    <w:p>
      <w:pPr>
        <w:spacing w:after="40"/>
      </w:pPr>
      <w:r>
        <w:t xml:space="preserve"/>
      </w:r>
    </w:p>
    <w:p>
      <w:r>
        <w:br w:type="page"/>
      </w:r>
    </w:p>
    <w:p>
      <w:pPr>
        <w:pStyle w:val="Heading1"/>
      </w:pPr>
      <w:r>
        <w:t xml:space="preserve">12. Supported Sources &amp; Asset Types</w:t>
      </w:r>
    </w:p>
    <w:p>
      <w:pPr>
        <w:spacing w:after="140"/>
      </w:pPr>
      <w:r>
        <w:rPr>
          <w:b/>
          <w:bCs/>
          <w:color w:val="16284C"/>
        </w:rPr>
        <w:t xml:space="preserve">Connected sources from which Solix EDG ingests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C9D4E0" w:sz="1"/>
              <w:left w:val="single" w:color="C9D4E0" w:sz="1"/>
              <w:bottom w:val="single" w:color="C9D4E0" w:sz="1"/>
              <w:right w:val="single" w:color="C9D4E0" w:sz="1"/>
            </w:tcBorders>
            <w:shd w:fill="16284C" w:val="clear"/>
            <w:tcMar>
              <w:top w:type="dxa" w:w="60"/>
              <w:left w:type="dxa" w:w="110"/>
              <w:bottom w:type="dxa" w:w="60"/>
              <w:right w:type="dxa" w:w="110"/>
            </w:tcMar>
            <w:vAlign w:val="center"/>
          </w:tcPr>
          <w:p>
            <w:r>
              <w:rPr>
                <w:b/>
                <w:bCs/>
                <w:color w:val="FFFFFF"/>
                <w:sz w:val="18"/>
                <w:szCs w:val="18"/>
              </w:rPr>
              <w:t xml:space="preserve">Category</w:t>
            </w:r>
          </w:p>
        </w:tc>
        <w:tc>
          <w:tcPr>
            <w:tcW w:type="dxa" w:w="6460"/>
            <w:tcBorders>
              <w:top w:val="single" w:color="C9D4E0" w:sz="1"/>
              <w:left w:val="single" w:color="C9D4E0" w:sz="1"/>
              <w:bottom w:val="single" w:color="C9D4E0" w:sz="1"/>
              <w:right w:val="single" w:color="C9D4E0" w:sz="1"/>
            </w:tcBorders>
            <w:shd w:fill="16284C" w:val="clear"/>
            <w:tcMar>
              <w:top w:type="dxa" w:w="60"/>
              <w:left w:type="dxa" w:w="110"/>
              <w:bottom w:type="dxa" w:w="60"/>
              <w:right w:type="dxa" w:w="110"/>
            </w:tcMar>
            <w:vAlign w:val="center"/>
          </w:tcPr>
          <w:p>
            <w:r>
              <w:rPr>
                <w:b/>
                <w:bCs/>
                <w:color w:val="FFFFFF"/>
                <w:sz w:val="18"/>
                <w:szCs w:val="18"/>
              </w:rPr>
              <w:t xml:space="preserve">Sources</w:t>
            </w:r>
          </w:p>
        </w:tc>
      </w:tr>
      <w:tr>
        <w:tc>
          <w:tcPr>
            <w:tcW w:type="dxa" w:w="29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Relational / warehouse</w:t>
            </w:r>
          </w:p>
        </w:tc>
        <w:tc>
          <w:tcPr>
            <w:tcW w:type="dxa" w:w="64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Snowflake, Google BigQuery, Databricks, Amazon Redshift, Oracle, MySQL, PostgreSQL</w:t>
            </w:r>
          </w:p>
        </w:tc>
      </w:tr>
      <w:tr>
        <w:tc>
          <w:tcPr>
            <w:tcW w:type="dxa" w:w="29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Cloud object storage</w:t>
            </w:r>
          </w:p>
        </w:tc>
        <w:tc>
          <w:tcPr>
            <w:tcW w:type="dxa" w:w="64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Amazon S3, Azure Blob</w:t>
            </w:r>
          </w:p>
        </w:tc>
      </w:tr>
    </w:tbl>
    <w:p>
      <w:pPr>
        <w:spacing w:after="40"/>
      </w:pPr>
      <w:r>
        <w:t xml:space="preserve"/>
      </w:r>
    </w:p>
    <w:p>
      <w:pPr>
        <w:spacing w:after="140"/>
      </w:pPr>
      <w:r>
        <w:rPr>
          <w:b/>
          <w:bCs/>
          <w:color w:val="16284C"/>
        </w:rPr>
        <w:t xml:space="preserve">Governed asset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C9D4E0" w:sz="1"/>
              <w:left w:val="single" w:color="C9D4E0" w:sz="1"/>
              <w:bottom w:val="single" w:color="C9D4E0" w:sz="1"/>
              <w:right w:val="single" w:color="C9D4E0" w:sz="1"/>
            </w:tcBorders>
            <w:shd w:fill="16284C" w:val="clear"/>
            <w:tcMar>
              <w:top w:type="dxa" w:w="60"/>
              <w:left w:type="dxa" w:w="110"/>
              <w:bottom w:type="dxa" w:w="60"/>
              <w:right w:type="dxa" w:w="110"/>
            </w:tcMar>
            <w:vAlign w:val="center"/>
          </w:tcPr>
          <w:p>
            <w:r>
              <w:rPr>
                <w:b/>
                <w:bCs/>
                <w:color w:val="FFFFFF"/>
                <w:sz w:val="18"/>
                <w:szCs w:val="18"/>
              </w:rPr>
              <w:t xml:space="preserve">Asset type</w:t>
            </w:r>
          </w:p>
        </w:tc>
        <w:tc>
          <w:tcPr>
            <w:tcW w:type="dxa" w:w="6460"/>
            <w:tcBorders>
              <w:top w:val="single" w:color="C9D4E0" w:sz="1"/>
              <w:left w:val="single" w:color="C9D4E0" w:sz="1"/>
              <w:bottom w:val="single" w:color="C9D4E0" w:sz="1"/>
              <w:right w:val="single" w:color="C9D4E0" w:sz="1"/>
            </w:tcBorders>
            <w:shd w:fill="16284C" w:val="clear"/>
            <w:tcMar>
              <w:top w:type="dxa" w:w="60"/>
              <w:left w:type="dxa" w:w="110"/>
              <w:bottom w:type="dxa" w:w="60"/>
              <w:right w:type="dxa" w:w="110"/>
            </w:tcMar>
            <w:vAlign w:val="center"/>
          </w:tcPr>
          <w:p>
            <w:r>
              <w:rPr>
                <w:b/>
                <w:bCs/>
                <w:color w:val="FFFFFF"/>
                <w:sz w:val="18"/>
                <w:szCs w:val="18"/>
              </w:rPr>
              <w:t xml:space="preserve">Covers</w:t>
            </w:r>
          </w:p>
        </w:tc>
      </w:tr>
      <w:tr>
        <w:tc>
          <w:tcPr>
            <w:tcW w:type="dxa" w:w="29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Database</w:t>
            </w:r>
          </w:p>
        </w:tc>
        <w:tc>
          <w:tcPr>
            <w:tcW w:type="dxa" w:w="64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a connected database or warehouse</w:t>
            </w:r>
          </w:p>
        </w:tc>
      </w:tr>
      <w:tr>
        <w:tc>
          <w:tcPr>
            <w:tcW w:type="dxa" w:w="29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Schema</w:t>
            </w:r>
          </w:p>
        </w:tc>
        <w:tc>
          <w:tcPr>
            <w:tcW w:type="dxa" w:w="64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a schema within a database</w:t>
            </w:r>
          </w:p>
        </w:tc>
      </w:tr>
      <w:tr>
        <w:tc>
          <w:tcPr>
            <w:tcW w:type="dxa" w:w="29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Table / View</w:t>
            </w:r>
          </w:p>
        </w:tc>
        <w:tc>
          <w:tcPr>
            <w:tcW w:type="dxa" w:w="64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tables and views</w:t>
            </w:r>
          </w:p>
        </w:tc>
      </w:tr>
      <w:tr>
        <w:tc>
          <w:tcPr>
            <w:tcW w:type="dxa" w:w="29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Container / Object</w:t>
            </w:r>
          </w:p>
        </w:tc>
        <w:tc>
          <w:tcPr>
            <w:tcW w:type="dxa" w:w="64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cloud storage containers and the objects/blobs within them</w:t>
            </w:r>
          </w:p>
        </w:tc>
      </w:tr>
    </w:tbl>
    <w:p>
      <w:pPr>
        <w:spacing w:after="40"/>
      </w:pPr>
      <w:r>
        <w:t xml:space="preserve"/>
      </w:r>
    </w:p>
    <w:p>
      <w:pPr>
        <w:spacing w:after="140"/>
      </w:pPr>
      <w:r>
        <w:rPr>
          <w:b/>
          <w:bCs/>
          <w:color w:val="16284C"/>
        </w:rPr>
        <w:t xml:space="preserve">What metadata ingestion captures: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C9D4E0" w:sz="1"/>
              <w:left w:val="single" w:color="C9D4E0" w:sz="1"/>
              <w:bottom w:val="single" w:color="C9D4E0" w:sz="1"/>
              <w:right w:val="single" w:color="C9D4E0" w:sz="1"/>
            </w:tcBorders>
            <w:shd w:fill="16284C" w:val="clear"/>
            <w:tcMar>
              <w:top w:type="dxa" w:w="60"/>
              <w:left w:type="dxa" w:w="110"/>
              <w:bottom w:type="dxa" w:w="60"/>
              <w:right w:type="dxa" w:w="110"/>
            </w:tcMar>
            <w:vAlign w:val="center"/>
          </w:tcPr>
          <w:p>
            <w:r>
              <w:rPr>
                <w:b/>
                <w:bCs/>
                <w:color w:val="FFFFFF"/>
                <w:sz w:val="18"/>
                <w:szCs w:val="18"/>
              </w:rPr>
              <w:t xml:space="preserve">Option</w:t>
            </w:r>
          </w:p>
        </w:tc>
        <w:tc>
          <w:tcPr>
            <w:tcW w:type="dxa" w:w="6460"/>
            <w:tcBorders>
              <w:top w:val="single" w:color="C9D4E0" w:sz="1"/>
              <w:left w:val="single" w:color="C9D4E0" w:sz="1"/>
              <w:bottom w:val="single" w:color="C9D4E0" w:sz="1"/>
              <w:right w:val="single" w:color="C9D4E0" w:sz="1"/>
            </w:tcBorders>
            <w:shd w:fill="16284C" w:val="clear"/>
            <w:tcMar>
              <w:top w:type="dxa" w:w="60"/>
              <w:left w:type="dxa" w:w="110"/>
              <w:bottom w:type="dxa" w:w="60"/>
              <w:right w:type="dxa" w:w="110"/>
            </w:tcMar>
            <w:vAlign w:val="center"/>
          </w:tcPr>
          <w:p>
            <w:r>
              <w:rPr>
                <w:b/>
                <w:bCs/>
                <w:color w:val="FFFFFF"/>
                <w:sz w:val="18"/>
                <w:szCs w:val="18"/>
              </w:rPr>
              <w:t xml:space="preserve">Captures</w:t>
            </w:r>
          </w:p>
        </w:tc>
      </w:tr>
      <w:tr>
        <w:tc>
          <w:tcPr>
            <w:tcW w:type="dxa" w:w="29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Metadata</w:t>
            </w:r>
          </w:p>
        </w:tc>
        <w:tc>
          <w:tcPr>
            <w:tcW w:type="dxa" w:w="64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databases, schemas, tables/views, and containers into the catalog</w:t>
            </w:r>
          </w:p>
        </w:tc>
      </w:tr>
      <w:tr>
        <w:tc>
          <w:tcPr>
            <w:tcW w:type="dxa" w:w="29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Lineage</w:t>
            </w:r>
          </w:p>
        </w:tc>
        <w:tc>
          <w:tcPr>
            <w:tcW w:type="dxa" w:w="64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relationships between assets</w:t>
            </w:r>
          </w:p>
        </w:tc>
      </w:tr>
      <w:tr>
        <w:tc>
          <w:tcPr>
            <w:tcW w:type="dxa" w:w="29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Profiling</w:t>
            </w:r>
          </w:p>
        </w:tc>
        <w:tc>
          <w:tcPr>
            <w:tcW w:type="dxa" w:w="64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column and asset profiles and statistics</w:t>
            </w:r>
          </w:p>
        </w:tc>
      </w:tr>
      <w:tr>
        <w:tc>
          <w:tcPr>
            <w:tcW w:type="dxa" w:w="29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Usage</w:t>
            </w:r>
          </w:p>
        </w:tc>
        <w:tc>
          <w:tcPr>
            <w:tcW w:type="dxa" w:w="64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query and access usage signals</w:t>
            </w:r>
          </w:p>
        </w:tc>
      </w:tr>
    </w:tbl>
    <w:p>
      <w:pPr>
        <w:spacing w:after="40"/>
      </w:pPr>
      <w:r>
        <w:t xml:space="preserve"/>
      </w:r>
    </w:p>
    <w:p>
      <w:pPr>
        <w:spacing w:after="140"/>
      </w:pPr>
      <w:r>
        <w:rPr>
          <w:b/>
          <w:bCs/>
          <w:color w:val="16284C"/>
        </w:rPr>
        <w:t xml:space="preserve">Access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D4E0" w:sz="1"/>
              <w:left w:val="single" w:color="C9D4E0" w:sz="1"/>
              <w:bottom w:val="single" w:color="C9D4E0" w:sz="1"/>
              <w:right w:val="single" w:color="C9D4E0" w:sz="1"/>
            </w:tcBorders>
            <w:shd w:fill="16284C" w:val="clear"/>
            <w:tcMar>
              <w:top w:type="dxa" w:w="60"/>
              <w:left w:type="dxa" w:w="110"/>
              <w:bottom w:type="dxa" w:w="60"/>
              <w:right w:type="dxa" w:w="110"/>
            </w:tcMar>
            <w:vAlign w:val="center"/>
          </w:tcPr>
          <w:p>
            <w:r>
              <w:rPr>
                <w:b/>
                <w:bCs/>
                <w:color w:val="FFFFFF"/>
                <w:sz w:val="18"/>
                <w:szCs w:val="18"/>
              </w:rPr>
              <w:t xml:space="preserve">Role</w:t>
            </w:r>
          </w:p>
        </w:tc>
        <w:tc>
          <w:tcPr>
            <w:tcW w:type="dxa" w:w="6760"/>
            <w:tcBorders>
              <w:top w:val="single" w:color="C9D4E0" w:sz="1"/>
              <w:left w:val="single" w:color="C9D4E0" w:sz="1"/>
              <w:bottom w:val="single" w:color="C9D4E0" w:sz="1"/>
              <w:right w:val="single" w:color="C9D4E0" w:sz="1"/>
            </w:tcBorders>
            <w:shd w:fill="16284C" w:val="clear"/>
            <w:tcMar>
              <w:top w:type="dxa" w:w="60"/>
              <w:left w:type="dxa" w:w="110"/>
              <w:bottom w:type="dxa" w:w="60"/>
              <w:right w:type="dxa" w:w="110"/>
            </w:tcMar>
            <w:vAlign w:val="center"/>
          </w:tcPr>
          <w:p>
            <w:r>
              <w:rPr>
                <w:b/>
                <w:bCs/>
                <w:color w:val="FFFFFF"/>
                <w:sz w:val="18"/>
                <w:szCs w:val="18"/>
              </w:rPr>
              <w:t xml:space="preserve">Authority</w:t>
            </w:r>
          </w:p>
        </w:tc>
      </w:tr>
      <w:tr>
        <w:tc>
          <w:tcPr>
            <w:tcW w:type="dxa" w:w="26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Admin</w:t>
            </w:r>
          </w:p>
        </w:tc>
        <w:tc>
          <w:tcPr>
            <w:tcW w:type="dxa" w:w="67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full access; manages users, roles, and policies</w:t>
            </w:r>
          </w:p>
        </w:tc>
      </w:tr>
      <w:tr>
        <w:tc>
          <w:tcPr>
            <w:tcW w:type="dxa" w:w="26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Connection Admin</w:t>
            </w:r>
          </w:p>
        </w:tc>
        <w:tc>
          <w:tcPr>
            <w:tcW w:type="dxa" w:w="67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manages connections and ingestion; read access to assets</w:t>
            </w:r>
          </w:p>
        </w:tc>
      </w:tr>
      <w:tr>
        <w:tc>
          <w:tcPr>
            <w:tcW w:type="dxa" w:w="26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Steward</w:t>
            </w:r>
          </w:p>
        </w:tc>
        <w:tc>
          <w:tcPr>
            <w:tcW w:type="dxa" w:w="67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domain-scoped curation of assets, glossary, tags, quality, and status</w:t>
            </w:r>
          </w:p>
        </w:tc>
      </w:tr>
      <w:tr>
        <w:tc>
          <w:tcPr>
            <w:tcW w:type="dxa" w:w="26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Viewer</w:t>
            </w:r>
          </w:p>
        </w:tc>
        <w:tc>
          <w:tcPr>
            <w:tcW w:type="dxa" w:w="67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read-only access across the catalog, glossary, tags, and quality</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627A"/>
        <w:sz w:val="16"/>
        <w:szCs w:val="16"/>
      </w:rPr>
      <w:t xml:space="preserve">Confidential  ·  Solix Technologies, Inc.   |   Page </w:t>
    </w:r>
    <w:r>
      <w:rPr>
        <w:color w:val="5562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627A"/>
        <w:sz w:val="16"/>
        <w:szCs w:val="16"/>
      </w:rPr>
      <w:t xml:space="preserve">Solix EDG — Product Definition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2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280"/>
      <w:outlineLvl w:val="0"/>
    </w:pPr>
    <w:rPr>
      <w:rFonts w:ascii="Arial" w:cs="Arial" w:eastAsia="Arial" w:hAnsi="Arial"/>
      <w:b/>
      <w:bCs/>
      <w:color w:val="16284C"/>
      <w:sz w:val="30"/>
      <w:szCs w:val="30"/>
    </w:rPr>
  </w:style>
  <w:style w:type="paragraph" w:styleId="Heading2">
    <w:name w:val="Heading 2"/>
    <w:basedOn w:val="Normal"/>
    <w:next w:val="Normal"/>
    <w:qFormat/>
    <w:pPr>
      <w:spacing w:after="90" w:before="220"/>
      <w:outlineLvl w:val="1"/>
    </w:pPr>
    <w:rPr>
      <w:rFonts w:ascii="Arial" w:cs="Arial" w:eastAsia="Arial" w:hAnsi="Arial"/>
      <w:b/>
      <w:bCs/>
      <w:color w:val="16284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Solix EDG — Product Definition Document</dc:title>
  <dc:creator>Solix Technologies</dc:creator>
  <cp:lastModifiedBy>Un-named</cp:lastModifiedBy>
  <cp:revision>1</cp:revision>
  <dcterms:created xsi:type="dcterms:W3CDTF">2026-06-02T14:29:32.986Z</dcterms:created>
  <dcterms:modified xsi:type="dcterms:W3CDTF">2026-06-02T14:29:32.990Z</dcterms:modified>
</cp:coreProperties>
</file>

<file path=docProps/custom.xml><?xml version="1.0" encoding="utf-8"?>
<Properties xmlns="http://schemas.openxmlformats.org/officeDocument/2006/custom-properties" xmlns:vt="http://schemas.openxmlformats.org/officeDocument/2006/docPropsVTypes"/>
</file>