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6284C"/>
          <w:sz w:val="64"/>
          <w:szCs w:val="64"/>
        </w:rPr>
        <w:t xml:space="preserve">SOLIX EDG</w:t>
      </w:r>
    </w:p>
    <w:p>
      <w:pPr>
        <w:spacing w:after="80"/>
        <w:jc w:val="center"/>
      </w:pPr>
      <w:r>
        <w:rPr>
          <w:b/>
          <w:bCs/>
          <w:color w:val="C75B12"/>
          <w:sz w:val="34"/>
          <w:szCs w:val="34"/>
        </w:rPr>
        <w:t xml:space="preserve">Enterprise Data Governance</w:t>
      </w:r>
    </w:p>
    <w:p>
      <w:pPr>
        <w:spacing w:after="40"/>
        <w:jc w:val="center"/>
      </w:pPr>
      <w:r>
        <w:rPr>
          <w:color w:val="1A2233"/>
          <w:sz w:val="27"/>
          <w:szCs w:val="27"/>
        </w:rPr>
        <w:t xml:space="preserve">Product Definition Document</w:t>
      </w:r>
    </w:p>
    <w:p>
      <w:pPr>
        <w:spacing w:after="380"/>
        <w:jc w:val="center"/>
      </w:pPr>
      <w:r>
        <w:rPr>
          <w:i/>
          <w:iCs/>
          <w:color w:val="55627A"/>
          <w:sz w:val="20"/>
          <w:szCs w:val="20"/>
        </w:rPr>
        <w:t xml:space="preserve">A plain-English overview of what Solix EDG delivers today</w:t>
      </w:r>
    </w:p>
    <w:p>
      <w:pPr>
        <w:spacing w:after="30"/>
        <w:jc w:val="center"/>
      </w:pPr>
      <w:r>
        <w:rPr>
          <w:sz w:val="20"/>
          <w:szCs w:val="20"/>
        </w:rPr>
        <w:t xml:space="preserve">Version 4.0  ·  June 2026</w:t>
      </w:r>
    </w:p>
    <w:p>
      <w:pPr>
        <w:jc w:val="center"/>
      </w:pPr>
      <w:r>
        <w:rPr>
          <w:color w:val="55627A"/>
          <w:sz w:val="18"/>
          <w:szCs w:val="18"/>
        </w:rPr>
        <w:t xml:space="preserve">Confidential — Solix Technologies, Inc.</w:t>
      </w:r>
    </w:p>
    <w:p>
      <w:r>
        <w:br w:type="page"/>
      </w:r>
    </w:p>
    <w:p>
      <w:pPr>
        <w:pStyle w:val="Heading1"/>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Executive Summary</w:t>
      </w:r>
    </w:p>
    <w:p>
      <w:pPr>
        <w:spacing w:after="140"/>
      </w:pPr>
      <w:r>
        <w:t xml:space="preserve">Solix EDG is an enterprise data governance platform. Its job is to take an organization’s scattered, hard-to-trust data and make it organized, understood, trustworthy, and safe to use — across every cloud warehouse, database, and file store the business runs on.</w:t>
      </w:r>
    </w:p>
    <w:p>
      <w:pPr>
        <w:spacing w:after="140"/>
      </w:pPr>
      <w:r>
        <w:t xml:space="preserve">In plain terms, Solix EDG becomes the system of record for the organization’s data. It knows what data exists, what each piece means in business language, whether it can be trusted, how sensitive it is, which regulations apply to it, and who is allowed to use it.</w:t>
      </w:r>
    </w:p>
    <w:p>
      <w:pPr>
        <w:spacing w:after="140"/>
      </w:pPr>
      <w:r>
        <w:t xml:space="preserve">The platform brings together capabilities that companies usually buy as separate tools: a searchable data catalog, a map of how data flows (lineage), a shared business dictionary (glossary), sensitivity labelling, data-quality monitoring, organization by business area, role-based access control, governance and compliance policy management, certification of trusted data, and a complete audit trail.</w:t>
      </w:r>
    </w:p>
    <w:p>
      <w:pPr>
        <w:spacing w:after="140"/>
      </w:pPr>
      <w:r>
        <w:t xml:space="preserve">The sections that follow describe each capability in plain language: what it is, why it matters to the business, and what Solix EDG supports today. A glossary of key terms appears at the end.</w:t>
      </w:r>
    </w:p>
    <w:p>
      <w:r>
        <w:br w:type="page"/>
      </w:r>
    </w:p>
    <w:p>
      <w:pPr>
        <w:pStyle w:val="Heading1"/>
      </w:pPr>
      <w:r>
        <w:t xml:space="preserve">1. Data Catalog &amp; Metadata Management</w:t>
      </w:r>
    </w:p>
    <w:p>
      <w:pPr>
        <w:spacing w:after="140"/>
      </w:pPr>
      <w:r>
        <w:t xml:space="preserve">A data catalog is a single, searchable inventory of all the data an organization has. “Metadata” simply means the descriptive information about that data — its name, type, owner, meaning, and so on. Solix EDG builds this catalog automatically from the systems it connects to and keeps it current as the data landscape changes.</w:t>
      </w:r>
    </w:p>
    <w:p>
      <w:pPr>
        <w:spacing w:after="140"/>
      </w:pPr>
      <w:r>
        <w:t xml:space="preserve">This is the foundation everything else builds on: a reliable, always-current answer to the question “what data do we have, and what is it?”</w:t>
      </w:r>
    </w:p>
    <w:p>
      <w:pPr>
        <w:spacing w:after="140"/>
      </w:pPr>
      <w:r>
        <w:rPr>
          <w:b/>
          <w:bCs/>
          <w:color w:val="16284C"/>
        </w:rPr>
        <w:t xml:space="preserve">What Solix EDG supports today:</w:t>
      </w:r>
    </w:p>
    <w:p>
      <w:pPr>
        <w:pStyle w:val="ListParagraph"/>
        <w:numPr>
          <w:ilvl w:val="0"/>
          <w:numId w:val="2"/>
        </w:numPr>
        <w:spacing w:after="60"/>
      </w:pPr>
      <w:r>
        <w:rPr>
          <w:b/>
          <w:bCs/>
        </w:rPr>
        <w:t xml:space="preserve">One inventory for all data — </w:t>
      </w:r>
      <w:r>
        <w:t xml:space="preserve">a single, searchable list of every database, table, file, and cloud-storage location across all connected systems, kept up to date automatically.</w:t>
      </w:r>
    </w:p>
    <w:p>
      <w:pPr>
        <w:pStyle w:val="ListParagraph"/>
        <w:numPr>
          <w:ilvl w:val="0"/>
          <w:numId w:val="2"/>
        </w:numPr>
        <w:spacing w:after="60"/>
      </w:pPr>
      <w:r>
        <w:rPr>
          <w:b/>
          <w:bCs/>
        </w:rPr>
        <w:t xml:space="preserve">Business and technical context on every item — </w:t>
      </w:r>
      <w:r>
        <w:t xml:space="preserve">each item shows a plain-language description, who owns it, who looks after it (the steward), which business area it belongs to, its sensitivity labels, and the business terms it relates to.</w:t>
      </w:r>
    </w:p>
    <w:p>
      <w:pPr>
        <w:pStyle w:val="ListParagraph"/>
        <w:numPr>
          <w:ilvl w:val="0"/>
          <w:numId w:val="2"/>
        </w:numPr>
        <w:spacing w:after="60"/>
      </w:pPr>
      <w:r>
        <w:rPr>
          <w:b/>
          <w:bCs/>
        </w:rPr>
        <w:t xml:space="preserve">Trust signals at a glance — </w:t>
      </w:r>
      <w:r>
        <w:t xml:space="preserve">each item displays a data-quality score, whether it has been certified as trustworthy, how recently it was updated, its size, and how business-critical it is (Critical, Important, or Exploratory).</w:t>
      </w:r>
    </w:p>
    <w:p>
      <w:pPr>
        <w:pStyle w:val="ListParagraph"/>
        <w:numPr>
          <w:ilvl w:val="0"/>
          <w:numId w:val="2"/>
        </w:numPr>
        <w:spacing w:after="60"/>
      </w:pPr>
      <w:r>
        <w:rPr>
          <w:b/>
          <w:bCs/>
        </w:rPr>
        <w:t xml:space="preserve">Detail down to each field — </w:t>
      </w:r>
      <w:r>
        <w:t xml:space="preserve">for every column inside a table, EDG shows the data type, whether it can be left empty, how records are identified and linked to other tables, a description, whether it holds sensitive data, and automatically-calculated statistics (such as how many values are missing or unique).</w:t>
      </w:r>
    </w:p>
    <w:p>
      <w:pPr>
        <w:pStyle w:val="ListParagraph"/>
        <w:numPr>
          <w:ilvl w:val="0"/>
          <w:numId w:val="2"/>
        </w:numPr>
        <w:spacing w:after="60"/>
      </w:pPr>
      <w:r>
        <w:rPr>
          <w:b/>
          <w:bCs/>
        </w:rPr>
        <w:t xml:space="preserve">Fast, guided discovery — </w:t>
      </w:r>
      <w:r>
        <w:t xml:space="preserve">people find the right data by name or by searching, and can narrow results by source system, business area, owner, sensitivity label, or business term.</w:t>
      </w:r>
    </w:p>
    <w:p>
      <w:pPr>
        <w:spacing w:after="40"/>
      </w:pPr>
      <w:r>
        <w:t xml:space="preserve"/>
      </w:r>
    </w:p>
    <w:p>
      <w:pPr>
        <w:pStyle w:val="Heading1"/>
      </w:pPr>
      <w:r>
        <w:t xml:space="preserve">2. Data Lineage</w:t>
      </w:r>
    </w:p>
    <w:p>
      <w:pPr>
        <w:spacing w:after="140"/>
      </w:pPr>
      <w:r>
        <w:t xml:space="preserve">“Lineage” is a map of where data comes from and where it goes — from the original source, through every transformation, to the reports and models that finally use it. Solix EDG captures this map across the whole estate.</w:t>
      </w:r>
    </w:p>
    <w:p>
      <w:pPr>
        <w:spacing w:after="140"/>
      </w:pPr>
      <w:r>
        <w:t xml:space="preserve">It answers two questions that are otherwise slow and costly to investigate: where did this number come from, and what will break if we change it?</w:t>
      </w:r>
    </w:p>
    <w:p>
      <w:pPr>
        <w:spacing w:after="140"/>
      </w:pPr>
      <w:r>
        <w:rPr>
          <w:b/>
          <w:bCs/>
          <w:color w:val="16284C"/>
        </w:rPr>
        <w:t xml:space="preserve">What Solix EDG supports today:</w:t>
      </w:r>
    </w:p>
    <w:p>
      <w:pPr>
        <w:pStyle w:val="ListParagraph"/>
        <w:numPr>
          <w:ilvl w:val="0"/>
          <w:numId w:val="2"/>
        </w:numPr>
        <w:spacing w:after="60"/>
      </w:pPr>
      <w:r>
        <w:rPr>
          <w:b/>
          <w:bCs/>
        </w:rPr>
        <w:t xml:space="preserve">The full data journey — </w:t>
      </w:r>
      <w:r>
        <w:t xml:space="preserve">for any item, see the upstream sources it came from and the downstream reports, dashboards, and models that depend on it.</w:t>
      </w:r>
    </w:p>
    <w:p>
      <w:pPr>
        <w:pStyle w:val="ListParagraph"/>
        <w:numPr>
          <w:ilvl w:val="0"/>
          <w:numId w:val="2"/>
        </w:numPr>
        <w:spacing w:after="60"/>
      </w:pPr>
      <w:r>
        <w:rPr>
          <w:b/>
          <w:bCs/>
        </w:rPr>
        <w:t xml:space="preserve">Tracing down to a single field — </w:t>
      </w:r>
      <w:r>
        <w:t xml:space="preserve">follow one column as it moves and changes across systems.</w:t>
      </w:r>
    </w:p>
    <w:p>
      <w:pPr>
        <w:pStyle w:val="ListParagraph"/>
        <w:numPr>
          <w:ilvl w:val="0"/>
          <w:numId w:val="2"/>
        </w:numPr>
        <w:spacing w:after="60"/>
      </w:pPr>
      <w:r>
        <w:rPr>
          <w:b/>
          <w:bCs/>
        </w:rPr>
        <w:t xml:space="preserve">Change impact and proof of origin — </w:t>
      </w:r>
      <w:r>
        <w:t xml:space="preserve">before changing a source, see everything that would be affected; and demonstrate where any figure ultimately originated — essential for trust and audits.</w:t>
      </w:r>
    </w:p>
    <w:p>
      <w:pPr>
        <w:spacing w:after="40"/>
      </w:pPr>
      <w:r>
        <w:t xml:space="preserve"/>
      </w:r>
    </w:p>
    <w:p>
      <w:pPr>
        <w:pStyle w:val="Heading1"/>
      </w:pPr>
      <w:r>
        <w:t xml:space="preserve">3. Business Glossary</w:t>
      </w:r>
    </w:p>
    <w:p>
      <w:pPr>
        <w:spacing w:after="140"/>
      </w:pPr>
      <w:r>
        <w:t xml:space="preserve">A business glossary is a shared dictionary of business terms. It ensures that words like “active customer” or “net revenue” mean the same thing to everyone, and connects those definitions to the real data behind them.</w:t>
      </w:r>
    </w:p>
    <w:p>
      <w:pPr>
        <w:spacing w:after="140"/>
      </w:pPr>
      <w:r>
        <w:t xml:space="preserve">This removes the common problem of different departments defining the same term differently, and makes the catalog meaningful to business users, not just engineers.</w:t>
      </w:r>
    </w:p>
    <w:p>
      <w:pPr>
        <w:spacing w:after="140"/>
      </w:pPr>
      <w:r>
        <w:rPr>
          <w:b/>
          <w:bCs/>
          <w:color w:val="16284C"/>
        </w:rPr>
        <w:t xml:space="preserve">What Solix EDG supports today:</w:t>
      </w:r>
    </w:p>
    <w:p>
      <w:pPr>
        <w:pStyle w:val="ListParagraph"/>
        <w:numPr>
          <w:ilvl w:val="0"/>
          <w:numId w:val="2"/>
        </w:numPr>
        <w:spacing w:after="60"/>
      </w:pPr>
      <w:r>
        <w:rPr>
          <w:b/>
          <w:bCs/>
        </w:rPr>
        <w:t xml:space="preserve">Agreed definitions — </w:t>
      </w:r>
      <w:r>
        <w:t xml:space="preserve">define each business term once, with a clear definition, so every team uses the same meaning.</w:t>
      </w:r>
    </w:p>
    <w:p>
      <w:pPr>
        <w:pStyle w:val="ListParagraph"/>
        <w:numPr>
          <w:ilvl w:val="0"/>
          <w:numId w:val="2"/>
        </w:numPr>
        <w:spacing w:after="60"/>
      </w:pPr>
      <w:r>
        <w:rPr>
          <w:b/>
          <w:bCs/>
        </w:rPr>
        <w:t xml:space="preserve">Terms connected to real data — </w:t>
      </w:r>
      <w:r>
        <w:t xml:space="preserve">each term is linked to the actual tables and columns that hold that data, bridging business language and technical data.</w:t>
      </w:r>
    </w:p>
    <w:p>
      <w:pPr>
        <w:pStyle w:val="ListParagraph"/>
        <w:numPr>
          <w:ilvl w:val="0"/>
          <w:numId w:val="2"/>
        </w:numPr>
        <w:spacing w:after="60"/>
      </w:pPr>
      <w:r>
        <w:rPr>
          <w:b/>
          <w:bCs/>
        </w:rPr>
        <w:t xml:space="preserve">Clear authority — </w:t>
      </w:r>
      <w:r>
        <w:t xml:space="preserve">every term shows whether its definition is a draft, approved, or retired, so people know which definitions to rely on.</w:t>
      </w:r>
    </w:p>
    <w:p>
      <w:pPr>
        <w:pStyle w:val="ListParagraph"/>
        <w:numPr>
          <w:ilvl w:val="0"/>
          <w:numId w:val="2"/>
        </w:numPr>
        <w:spacing w:after="60"/>
      </w:pPr>
      <w:r>
        <w:rPr>
          <w:b/>
          <w:bCs/>
        </w:rPr>
        <w:t xml:space="preserve">Coverage view — </w:t>
      </w:r>
      <w:r>
        <w:t xml:space="preserve">see how much of the data estate has been connected to defined business terms.</w:t>
      </w:r>
    </w:p>
    <w:p>
      <w:pPr>
        <w:spacing w:after="40"/>
      </w:pPr>
      <w:r>
        <w:t xml:space="preserve"/>
      </w:r>
    </w:p>
    <w:p>
      <w:pPr>
        <w:pStyle w:val="Heading1"/>
      </w:pPr>
      <w:r>
        <w:t xml:space="preserve">4. Data Classification &amp; Tagging</w:t>
      </w:r>
    </w:p>
    <w:p>
      <w:pPr>
        <w:spacing w:after="140"/>
      </w:pPr>
      <w:r>
        <w:t xml:space="preserve">Classification means labelling data by how sensitive it is and what it represents. These labels are what drive privacy handling, access decisions, and compliance, so getting them right and consistent is critical.</w:t>
      </w:r>
    </w:p>
    <w:p>
      <w:pPr>
        <w:spacing w:after="140"/>
      </w:pPr>
      <w:r>
        <w:t xml:space="preserve">Solix EDG provides a governed labelling system and keeps it aligned with the labels that already exist in source systems.</w:t>
      </w:r>
    </w:p>
    <w:p>
      <w:pPr>
        <w:spacing w:after="140"/>
      </w:pPr>
      <w:r>
        <w:rPr>
          <w:b/>
          <w:bCs/>
          <w:color w:val="16284C"/>
        </w:rPr>
        <w:t xml:space="preserve">What Solix EDG supports today:</w:t>
      </w:r>
    </w:p>
    <w:p>
      <w:pPr>
        <w:pStyle w:val="ListParagraph"/>
        <w:numPr>
          <w:ilvl w:val="0"/>
          <w:numId w:val="2"/>
        </w:numPr>
        <w:spacing w:after="60"/>
      </w:pPr>
      <w:r>
        <w:rPr>
          <w:b/>
          <w:bCs/>
        </w:rPr>
        <w:t xml:space="preserve">Built-in sensitivity labels — </w:t>
      </w:r>
      <w:r>
        <w:t xml:space="preserve">ready-to-use labels for the most regulated data: PII (personal data such as name, email, address), PHI (protected health information), and PCI-DSS (payment-card data).</w:t>
      </w:r>
    </w:p>
    <w:p>
      <w:pPr>
        <w:pStyle w:val="ListParagraph"/>
        <w:numPr>
          <w:ilvl w:val="0"/>
          <w:numId w:val="2"/>
        </w:numPr>
        <w:spacing w:after="60"/>
      </w:pPr>
      <w:r>
        <w:rPr>
          <w:b/>
          <w:bCs/>
        </w:rPr>
        <w:t xml:space="preserve">Organized, tracked labels — </w:t>
      </w:r>
      <w:r>
        <w:t xml:space="preserve">labels are grouped into categories (sensitivity, regulatory, business, and custom) and tracked for how widely they are used.</w:t>
      </w:r>
    </w:p>
    <w:p>
      <w:pPr>
        <w:pStyle w:val="ListParagraph"/>
        <w:numPr>
          <w:ilvl w:val="0"/>
          <w:numId w:val="2"/>
        </w:numPr>
        <w:spacing w:after="60"/>
      </w:pPr>
      <w:r>
        <w:rPr>
          <w:b/>
          <w:bCs/>
        </w:rPr>
        <w:t xml:space="preserve">Labels that drive protection — </w:t>
      </w:r>
      <w:r>
        <w:t xml:space="preserve">sensitivity labels feed directly into access policies and compliance checks, so sensitive data is governed automatically rather than by hand.</w:t>
      </w:r>
    </w:p>
    <w:p>
      <w:pPr>
        <w:pStyle w:val="ListParagraph"/>
        <w:numPr>
          <w:ilvl w:val="0"/>
          <w:numId w:val="2"/>
        </w:numPr>
        <w:spacing w:after="60"/>
      </w:pPr>
      <w:r>
        <w:rPr>
          <w:b/>
          <w:bCs/>
        </w:rPr>
        <w:t xml:space="preserve">Kept consistent with source systems — </w:t>
      </w:r>
      <w:r>
        <w:t xml:space="preserve">labels that already exist in connected systems are matched to EDG’s labels, and any naming conflicts are flagged for a person to resolve — so classification stays consistent everywhere.</w:t>
      </w:r>
    </w:p>
    <w:p>
      <w:pPr>
        <w:spacing w:after="40"/>
      </w:pPr>
      <w:r>
        <w:t xml:space="preserve"/>
      </w:r>
    </w:p>
    <w:p>
      <w:pPr>
        <w:pStyle w:val="Heading1"/>
      </w:pPr>
      <w:r>
        <w:t xml:space="preserve">5. Data Quality</w:t>
      </w:r>
    </w:p>
    <w:p>
      <w:pPr>
        <w:spacing w:after="140"/>
      </w:pPr>
      <w:r>
        <w:t xml:space="preserve">Data quality is about whether data can be trusted — is it complete, accurate, current, and consistent? Solix EDG makes quality measurable and visible, so problems are caught proactively instead of being discovered after a wrong number reaches a report.</w:t>
      </w:r>
    </w:p>
    <w:p>
      <w:pPr>
        <w:spacing w:after="140"/>
      </w:pPr>
      <w:r>
        <w:t xml:space="preserve">Quality results are attached to each data item and shown in the catalog, so consumers can see at a glance whether something is dependable.</w:t>
      </w:r>
    </w:p>
    <w:p>
      <w:pPr>
        <w:spacing w:after="140"/>
      </w:pPr>
      <w:r>
        <w:rPr>
          <w:b/>
          <w:bCs/>
          <w:color w:val="16284C"/>
        </w:rPr>
        <w:t xml:space="preserve">What Solix EDG supports today:</w:t>
      </w:r>
    </w:p>
    <w:p>
      <w:pPr>
        <w:pStyle w:val="ListParagraph"/>
        <w:numPr>
          <w:ilvl w:val="0"/>
          <w:numId w:val="2"/>
        </w:numPr>
        <w:spacing w:after="60"/>
      </w:pPr>
      <w:r>
        <w:rPr>
          <w:b/>
          <w:bCs/>
        </w:rPr>
        <w:t xml:space="preserve">Define quality checks — </w:t>
      </w:r>
      <w:r>
        <w:t xml:space="preserve">set rules that test data across the standard measures of data health — completeness, accuracy, consistency, timeliness, validity, and uniqueness.</w:t>
      </w:r>
    </w:p>
    <w:p>
      <w:pPr>
        <w:pStyle w:val="ListParagraph"/>
        <w:numPr>
          <w:ilvl w:val="0"/>
          <w:numId w:val="2"/>
        </w:numPr>
        <w:spacing w:after="60"/>
      </w:pPr>
      <w:r>
        <w:rPr>
          <w:b/>
          <w:bCs/>
        </w:rPr>
        <w:t xml:space="preserve">Reusable and grouped — </w:t>
      </w:r>
      <w:r>
        <w:t xml:space="preserve">build a check once and reuse it, and group related checks together into suites.</w:t>
      </w:r>
    </w:p>
    <w:p>
      <w:pPr>
        <w:pStyle w:val="ListParagraph"/>
        <w:numPr>
          <w:ilvl w:val="0"/>
          <w:numId w:val="2"/>
        </w:numPr>
        <w:spacing w:after="60"/>
      </w:pPr>
      <w:r>
        <w:rPr>
          <w:b/>
          <w:bCs/>
        </w:rPr>
        <w:t xml:space="preserve">Scores everyone can see — </w:t>
      </w:r>
      <w:r>
        <w:t xml:space="preserve">each item receives a quality score and a summary of the last check (what was tested and the result), shown directly in the catalog.</w:t>
      </w:r>
    </w:p>
    <w:p>
      <w:pPr>
        <w:pStyle w:val="ListParagraph"/>
        <w:numPr>
          <w:ilvl w:val="0"/>
          <w:numId w:val="2"/>
        </w:numPr>
        <w:spacing w:after="60"/>
      </w:pPr>
      <w:r>
        <w:rPr>
          <w:b/>
          <w:bCs/>
        </w:rPr>
        <w:t xml:space="preserve">Issues tracked to closure — </w:t>
      </w:r>
      <w:r>
        <w:t xml:space="preserve">when a check fails it raises an issue that is tracked from open, to in-review, to resolved or dismissed — with a severity and a written explanation of the cause.</w:t>
      </w:r>
    </w:p>
    <w:p>
      <w:pPr>
        <w:pStyle w:val="ListParagraph"/>
        <w:numPr>
          <w:ilvl w:val="0"/>
          <w:numId w:val="2"/>
        </w:numPr>
        <w:spacing w:after="60"/>
      </w:pPr>
      <w:r>
        <w:rPr>
          <w:b/>
          <w:bCs/>
        </w:rPr>
        <w:t xml:space="preserve">Runs automatically — </w:t>
      </w:r>
      <w:r>
        <w:t xml:space="preserve">checks run on a set schedule or on demand.</w:t>
      </w:r>
    </w:p>
    <w:p>
      <w:pPr>
        <w:spacing w:after="40"/>
      </w:pPr>
      <w:r>
        <w:t xml:space="preserve"/>
      </w:r>
    </w:p>
    <w:p>
      <w:pPr>
        <w:pStyle w:val="Heading1"/>
      </w:pPr>
      <w:r>
        <w:t xml:space="preserve">6. Data Domains &amp; Data Products</w:t>
      </w:r>
    </w:p>
    <w:p>
      <w:pPr>
        <w:spacing w:after="140"/>
      </w:pPr>
      <w:r>
        <w:t xml:space="preserve">A “domain” is a business area (for example Finance or Commerce). Organizing data by domain means the people closest to the data are the ones accountable for governing it, rather than one central team becoming a bottleneck. A “data product” is a curated, ready-to-use set of data packaged for others to consume.</w:t>
      </w:r>
    </w:p>
    <w:p>
      <w:pPr>
        <w:spacing w:after="140"/>
      </w:pPr>
      <w:r>
        <w:t xml:space="preserve">Together these give the organization a scalable, federated way to own and share trusted data.</w:t>
      </w:r>
    </w:p>
    <w:p>
      <w:pPr>
        <w:spacing w:after="140"/>
      </w:pPr>
      <w:r>
        <w:rPr>
          <w:b/>
          <w:bCs/>
          <w:color w:val="16284C"/>
        </w:rPr>
        <w:t xml:space="preserve">What Solix EDG supports today:</w:t>
      </w:r>
    </w:p>
    <w:p>
      <w:pPr>
        <w:pStyle w:val="ListParagraph"/>
        <w:numPr>
          <w:ilvl w:val="0"/>
          <w:numId w:val="2"/>
        </w:numPr>
        <w:spacing w:after="60"/>
      </w:pPr>
      <w:r>
        <w:rPr>
          <w:b/>
          <w:bCs/>
        </w:rPr>
        <w:t xml:space="preserve">Ownership by business area (domains) — </w:t>
      </w:r>
      <w:r>
        <w:t xml:space="preserve">group data by business area, each with its own owners and stewards, so accountability sits with the team that knows the data best.</w:t>
      </w:r>
    </w:p>
    <w:p>
      <w:pPr>
        <w:pStyle w:val="ListParagraph"/>
        <w:numPr>
          <w:ilvl w:val="0"/>
          <w:numId w:val="2"/>
        </w:numPr>
        <w:spacing w:after="60"/>
      </w:pPr>
      <w:r>
        <w:rPr>
          <w:b/>
          <w:bCs/>
        </w:rPr>
        <w:t xml:space="preserve">Curated, ready-to-use datasets (data products) — </w:t>
      </w:r>
      <w:r>
        <w:t xml:space="preserve">package trusted data into clearly-defined products with known inputs and outputs for others to consume confidently.</w:t>
      </w:r>
    </w:p>
    <w:p>
      <w:pPr>
        <w:pStyle w:val="ListParagraph"/>
        <w:numPr>
          <w:ilvl w:val="0"/>
          <w:numId w:val="2"/>
        </w:numPr>
        <w:spacing w:after="60"/>
      </w:pPr>
      <w:r>
        <w:rPr>
          <w:b/>
          <w:bCs/>
        </w:rPr>
        <w:t xml:space="preserve">Status at a glance — </w:t>
      </w:r>
      <w:r>
        <w:t xml:space="preserve">domains and data products show whether they are active, draft, breached, or under review.</w:t>
      </w:r>
    </w:p>
    <w:p>
      <w:pPr>
        <w:pStyle w:val="ListParagraph"/>
        <w:numPr>
          <w:ilvl w:val="0"/>
          <w:numId w:val="2"/>
        </w:numPr>
        <w:spacing w:after="60"/>
      </w:pPr>
      <w:r>
        <w:rPr>
          <w:b/>
          <w:bCs/>
        </w:rPr>
        <w:t xml:space="preserve">Ownership that survives staff change — </w:t>
      </w:r>
      <w:r>
        <w:t xml:space="preserve">responsibility is assigned to teams, not only individuals, so accountability holds as people move roles.</w:t>
      </w:r>
    </w:p>
    <w:p>
      <w:pPr>
        <w:spacing w:after="40"/>
      </w:pPr>
      <w:r>
        <w:t xml:space="preserve"/>
      </w:r>
    </w:p>
    <w:p>
      <w:pPr>
        <w:pStyle w:val="Heading1"/>
      </w:pPr>
      <w:r>
        <w:t xml:space="preserve">7. Access Control &amp; Roles</w:t>
      </w:r>
    </w:p>
    <w:p>
      <w:pPr>
        <w:spacing w:after="140"/>
      </w:pPr>
      <w:r>
        <w:t xml:space="preserve">Access control decides who is allowed to do what with which data. Rather than managing permissions person by person, Solix EDG uses a small set of clear roles and precise rules — the standard, auditable approach to least-privilege access (people get only the access their job requires).</w:t>
      </w:r>
    </w:p>
    <w:p>
      <w:pPr>
        <w:spacing w:after="140"/>
      </w:pPr>
      <w:r>
        <w:t xml:space="preserve">This makes access easy to understand, review, and prove to auditors.</w:t>
      </w:r>
    </w:p>
    <w:p>
      <w:pPr>
        <w:spacing w:after="140"/>
      </w:pPr>
      <w:r>
        <w:rPr>
          <w:b/>
          <w:bCs/>
          <w:color w:val="16284C"/>
        </w:rPr>
        <w:t xml:space="preserve">What Solix EDG supports today:</w:t>
      </w:r>
    </w:p>
    <w:p>
      <w:pPr>
        <w:pStyle w:val="ListParagraph"/>
        <w:numPr>
          <w:ilvl w:val="0"/>
          <w:numId w:val="2"/>
        </w:numPr>
        <w:spacing w:after="60"/>
      </w:pPr>
      <w:r>
        <w:rPr>
          <w:b/>
          <w:bCs/>
        </w:rPr>
        <w:t xml:space="preserve">A few clear roles — </w:t>
      </w:r>
      <w:r>
        <w:t xml:space="preserve">four standard roles — Admin, Connection Admin, Steward, and Viewer — plus the option to create custom roles, instead of one-off permissions for each person.</w:t>
      </w:r>
    </w:p>
    <w:p>
      <w:pPr>
        <w:pStyle w:val="ListParagraph"/>
        <w:numPr>
          <w:ilvl w:val="0"/>
          <w:numId w:val="2"/>
        </w:numPr>
        <w:spacing w:after="60"/>
      </w:pPr>
      <w:r>
        <w:rPr>
          <w:b/>
          <w:bCs/>
        </w:rPr>
        <w:t xml:space="preserve">Precise permissions — </w:t>
      </w:r>
      <w:r>
        <w:t xml:space="preserve">rules grant or deny specific actions (such as view, edit, create, or delete) on specific kinds of data.</w:t>
      </w:r>
    </w:p>
    <w:p>
      <w:pPr>
        <w:pStyle w:val="ListParagraph"/>
        <w:numPr>
          <w:ilvl w:val="0"/>
          <w:numId w:val="2"/>
        </w:numPr>
        <w:spacing w:after="60"/>
      </w:pPr>
      <w:r>
        <w:rPr>
          <w:b/>
          <w:bCs/>
        </w:rPr>
        <w:t xml:space="preserve">Access limited to a business area — </w:t>
      </w:r>
      <w:r>
        <w:t xml:space="preserve">a steward can be restricted to act only within their assigned domain, so each team governs its own data without overstepping into others.</w:t>
      </w:r>
    </w:p>
    <w:p>
      <w:pPr>
        <w:pStyle w:val="ListParagraph"/>
        <w:numPr>
          <w:ilvl w:val="0"/>
          <w:numId w:val="2"/>
        </w:numPr>
        <w:spacing w:after="60"/>
      </w:pPr>
      <w:r>
        <w:rPr>
          <w:b/>
          <w:bCs/>
        </w:rPr>
        <w:t xml:space="preserve">Conditional access — </w:t>
      </w:r>
      <w:r>
        <w:t xml:space="preserve">access can depend on whether a person owns the data, is on the right team, is in the right domain, holds a particular role, or whether the data carries a certain label or certification.</w:t>
      </w:r>
    </w:p>
    <w:p>
      <w:pPr>
        <w:pStyle w:val="ListParagraph"/>
        <w:numPr>
          <w:ilvl w:val="0"/>
          <w:numId w:val="2"/>
        </w:numPr>
        <w:spacing w:after="60"/>
      </w:pPr>
      <w:r>
        <w:rPr>
          <w:b/>
          <w:bCs/>
        </w:rPr>
        <w:t xml:space="preserve">People and teams — </w:t>
      </w:r>
      <w:r>
        <w:t xml:space="preserve">users are grouped into teams, given roles, and tied to business areas; ownership can sit with a team as well as an individual.</w:t>
      </w:r>
    </w:p>
    <w:p>
      <w:pPr>
        <w:spacing w:after="40"/>
      </w:pPr>
      <w:r>
        <w:t xml:space="preserve"/>
      </w:r>
    </w:p>
    <w:p>
      <w:pPr>
        <w:pStyle w:val="Heading1"/>
      </w:pPr>
      <w:r>
        <w:t xml:space="preserve">8. Policy Management</w:t>
      </w:r>
    </w:p>
    <w:p>
      <w:pPr>
        <w:spacing w:after="140"/>
      </w:pPr>
      <w:r>
        <w:t xml:space="preserve">A policy is a rule for how a category of data must be handled (for example, “personal data must be governed and access-controlled”). Solix EDG’s Policy Management is where the organization writes these governance and compliance policies and then checks the whole data estate against them automatically and continuously.</w:t>
      </w:r>
    </w:p>
    <w:p>
      <w:pPr>
        <w:spacing w:after="140"/>
      </w:pPr>
      <w:r>
        <w:t xml:space="preserve">Each policy is connected to the regulations it helps satisfy and to the data it governs — so leadership can see, at any time, how well the organization is meeting its obligations and where the gaps are. This turns compliance from a once-a-year scramble into an always-on, evidence-backed picture.</w:t>
      </w:r>
    </w:p>
    <w:p>
      <w:pPr>
        <w:spacing w:after="140"/>
      </w:pPr>
      <w:r>
        <w:rPr>
          <w:b/>
          <w:bCs/>
          <w:color w:val="16284C"/>
        </w:rPr>
        <w:t xml:space="preserve">What Solix EDG supports today:</w:t>
      </w:r>
    </w:p>
    <w:p>
      <w:pPr>
        <w:pStyle w:val="ListParagraph"/>
        <w:numPr>
          <w:ilvl w:val="0"/>
          <w:numId w:val="2"/>
        </w:numPr>
        <w:spacing w:after="60"/>
      </w:pPr>
      <w:r>
        <w:rPr>
          <w:b/>
          <w:bCs/>
        </w:rPr>
        <w:t xml:space="preserve">Governance policies — </w:t>
      </w:r>
      <w:r>
        <w:t xml:space="preserve">each policy has a name, a category (such as Data Privacy, Data Lifecycle, Data Security, Compliance, or Governance), the set of data it applies to (its “scope” — for example all tables, EU data, the Finance area, or columns holding personal data), a severity, an owner, and whether it is active or still a draft.</w:t>
      </w:r>
    </w:p>
    <w:p>
      <w:pPr>
        <w:pStyle w:val="ListParagraph"/>
        <w:numPr>
          <w:ilvl w:val="0"/>
          <w:numId w:val="2"/>
        </w:numPr>
        <w:spacing w:after="60"/>
      </w:pPr>
      <w:r>
        <w:rPr>
          <w:b/>
          <w:bCs/>
        </w:rPr>
        <w:t xml:space="preserve">A live compliance score per policy — </w:t>
      </w:r>
      <w:r>
        <w:t xml:space="preserve">every policy shows how many data items it covers, a compliance score (the share of those items that meet the policy), and how many violations currently exist — so gaps are immediately visible.</w:t>
      </w:r>
    </w:p>
    <w:p>
      <w:pPr>
        <w:pStyle w:val="ListParagraph"/>
        <w:numPr>
          <w:ilvl w:val="0"/>
          <w:numId w:val="2"/>
        </w:numPr>
        <w:spacing w:after="60"/>
      </w:pPr>
      <w:r>
        <w:rPr>
          <w:b/>
          <w:bCs/>
        </w:rPr>
        <w:t xml:space="preserve">A built-in regulation register — </w:t>
      </w:r>
      <w:r>
        <w:t xml:space="preserve">a record of the major regulations the business must meet — for example GDPR, SOC 2, CCPA, HIPAA, and PCI DSS — each showing its region, current status, a compliance score, how many of its checks are passing, when it was last audited, and the specific articles or requirements it contains.</w:t>
      </w:r>
    </w:p>
    <w:p>
      <w:pPr>
        <w:pStyle w:val="ListParagraph"/>
        <w:numPr>
          <w:ilvl w:val="0"/>
          <w:numId w:val="2"/>
        </w:numPr>
        <w:spacing w:after="60"/>
      </w:pPr>
      <w:r>
        <w:rPr>
          <w:b/>
          <w:bCs/>
        </w:rPr>
        <w:t xml:space="preserve">Regulations linked to policies — </w:t>
      </w:r>
      <w:r>
        <w:t xml:space="preserve">each regulation is connected to the policies that satisfy it, so leadership can see exactly how each regulatory obligation is being met in practice.</w:t>
      </w:r>
    </w:p>
    <w:p>
      <w:pPr>
        <w:pStyle w:val="ListParagraph"/>
        <w:numPr>
          <w:ilvl w:val="0"/>
          <w:numId w:val="2"/>
        </w:numPr>
        <w:spacing w:after="60"/>
      </w:pPr>
      <w:r>
        <w:rPr>
          <w:b/>
          <w:bCs/>
        </w:rPr>
        <w:t xml:space="preserve">Check-level detail — </w:t>
      </w:r>
      <w:r>
        <w:t xml:space="preserve">individual regulatory checks (controls) are mapped to specific data items and marked passing, warning, or failing.</w:t>
      </w:r>
    </w:p>
    <w:p>
      <w:pPr>
        <w:pStyle w:val="ListParagraph"/>
        <w:numPr>
          <w:ilvl w:val="0"/>
          <w:numId w:val="2"/>
        </w:numPr>
        <w:spacing w:after="60"/>
      </w:pPr>
      <w:r>
        <w:rPr>
          <w:b/>
          <w:bCs/>
        </w:rPr>
        <w:t xml:space="preserve">A risk register — </w:t>
      </w:r>
      <w:r>
        <w:t xml:space="preserve">governance risks are recorded and linked to policies, each with a likelihood, an impact, a mitigation plan, an owner, and a status.</w:t>
      </w:r>
    </w:p>
    <w:p>
      <w:pPr>
        <w:pStyle w:val="ListParagraph"/>
        <w:numPr>
          <w:ilvl w:val="0"/>
          <w:numId w:val="2"/>
        </w:numPr>
        <w:spacing w:after="60"/>
      </w:pPr>
      <w:r>
        <w:rPr>
          <w:b/>
          <w:bCs/>
        </w:rPr>
        <w:t xml:space="preserve">Continuous checking — </w:t>
      </w:r>
      <w:r>
        <w:t xml:space="preserve">policies are evaluated automatically on a schedule; each run reports how much was scanned, any new violations, and an overall compliance score.</w:t>
      </w:r>
    </w:p>
    <w:p>
      <w:pPr>
        <w:spacing w:after="120"/>
      </w:pPr>
      <w:r>
        <w:rPr>
          <w:i/>
          <w:iCs/>
          <w:color w:val="55627A"/>
        </w:rPr>
        <w:t xml:space="preserve">Illustrative examples of regulations tracked in the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60"/>
        <w:gridCol w:w="2400"/>
      </w:tblGrid>
      <w:tr>
        <w:trPr>
          <w:tblHeader/>
        </w:trPr>
        <w:tc>
          <w:tcPr>
            <w:tcW w:type="dxa" w:w="27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Regulation</w:t>
            </w:r>
          </w:p>
        </w:tc>
        <w:tc>
          <w:tcPr>
            <w:tcW w:type="dxa" w:w="21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Region</w:t>
            </w:r>
          </w:p>
        </w:tc>
        <w:tc>
          <w:tcPr>
            <w:tcW w:type="dxa" w:w="21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Status</w:t>
            </w:r>
          </w:p>
        </w:tc>
        <w:tc>
          <w:tcPr>
            <w:tcW w:type="dxa" w:w="24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Compliance score</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GDPR</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EU</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Compliant</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94%</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SOC 2</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Global</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In Review</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87%</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CCPA</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 — California</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Compliant</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91%</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HIPAA</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In Progress</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78%</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PCI DSS</w:t>
            </w:r>
          </w:p>
        </w:tc>
        <w:tc>
          <w:tcPr>
            <w:tcW w:type="dxa" w:w="2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Global</w:t>
            </w:r>
          </w:p>
        </w:tc>
        <w:tc>
          <w:tcPr>
            <w:tcW w:type="dxa" w:w="21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Compliant</w:t>
            </w:r>
          </w:p>
        </w:tc>
        <w:tc>
          <w:tcPr>
            <w:tcW w:type="dxa" w:w="24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96%</w:t>
            </w:r>
          </w:p>
        </w:tc>
      </w:tr>
    </w:tbl>
    <w:p>
      <w:pPr>
        <w:spacing w:after="40"/>
      </w:pPr>
      <w:r>
        <w:t xml:space="preserve"/>
      </w:r>
    </w:p>
    <w:p>
      <w:pPr>
        <w:pStyle w:val="Heading1"/>
      </w:pPr>
      <w:r>
        <w:t xml:space="preserve">9. Certification &amp; Trust</w:t>
      </w:r>
    </w:p>
    <w:p>
      <w:pPr>
        <w:spacing w:after="140"/>
      </w:pPr>
      <w:r>
        <w:t xml:space="preserve">Certification is a formal stamp that says “this data has been reviewed and can be trusted.” Solix EDG turns trust from an informal opinion into a visible, governed status that follows the data wherever it is used.</w:t>
      </w:r>
    </w:p>
    <w:p>
      <w:pPr>
        <w:spacing w:after="140"/>
      </w:pPr>
      <w:r>
        <w:t xml:space="preserve">This helps people quickly choose the right, trustworthy data instead of guessing.</w:t>
      </w:r>
    </w:p>
    <w:p>
      <w:pPr>
        <w:spacing w:after="140"/>
      </w:pPr>
      <w:r>
        <w:rPr>
          <w:b/>
          <w:bCs/>
          <w:color w:val="16284C"/>
        </w:rPr>
        <w:t xml:space="preserve">What Solix EDG supports today:</w:t>
      </w:r>
    </w:p>
    <w:p>
      <w:pPr>
        <w:pStyle w:val="ListParagraph"/>
        <w:numPr>
          <w:ilvl w:val="0"/>
          <w:numId w:val="2"/>
        </w:numPr>
        <w:spacing w:after="60"/>
      </w:pPr>
      <w:r>
        <w:rPr>
          <w:b/>
          <w:bCs/>
        </w:rPr>
        <w:t xml:space="preserve">Trust made official — </w:t>
      </w:r>
      <w:r>
        <w:t xml:space="preserve">a data item can be certified to show it is reviewed and dependable; its status (draft, in review, approved, rejected, or retired) and its quality score are shown everywhere it appears.</w:t>
      </w:r>
    </w:p>
    <w:p>
      <w:pPr>
        <w:pStyle w:val="ListParagraph"/>
        <w:numPr>
          <w:ilvl w:val="0"/>
          <w:numId w:val="2"/>
        </w:numPr>
        <w:spacing w:after="60"/>
      </w:pPr>
      <w:r>
        <w:rPr>
          <w:b/>
          <w:bCs/>
        </w:rPr>
        <w:t xml:space="preserve">A consistent review checklist — </w:t>
      </w:r>
      <w:r>
        <w:t xml:space="preserve">before certification, EDG confirms the item is documented, that sensitive data is labelled, that its lineage is verified, that quality checks pass, and that it has an owner.</w:t>
      </w:r>
    </w:p>
    <w:p>
      <w:pPr>
        <w:pStyle w:val="ListParagraph"/>
        <w:numPr>
          <w:ilvl w:val="0"/>
          <w:numId w:val="2"/>
        </w:numPr>
        <w:spacing w:after="60"/>
      </w:pPr>
      <w:r>
        <w:rPr>
          <w:b/>
          <w:bCs/>
        </w:rPr>
        <w:t xml:space="preserve">Visible where decisions are made — </w:t>
      </w:r>
      <w:r>
        <w:t xml:space="preserve">certification and quality are shown wherever people search for and use data, so they can confidently pick trusted sources.</w:t>
      </w:r>
    </w:p>
    <w:p>
      <w:pPr>
        <w:spacing w:after="40"/>
      </w:pPr>
      <w:r>
        <w:t xml:space="preserve"/>
      </w:r>
    </w:p>
    <w:p>
      <w:pPr>
        <w:pStyle w:val="Heading1"/>
      </w:pPr>
      <w:r>
        <w:t xml:space="preserve">10. Connectivity &amp; Metadata Ingestion</w:t>
      </w:r>
    </w:p>
    <w:p>
      <w:pPr>
        <w:spacing w:after="140"/>
      </w:pPr>
      <w:r>
        <w:t xml:space="preserve">“Connectivity” is how Solix EDG plugs into the organization’s existing data systems and brings their information under governance. Importantly, it reads the descriptive information about the data — it does not copy or move the actual data.</w:t>
      </w:r>
    </w:p>
    <w:p>
      <w:pPr>
        <w:spacing w:after="140"/>
      </w:pPr>
      <w:r>
        <w:t xml:space="preserve">This is what keeps the catalog complete and current without anyone cataloguing data by hand.</w:t>
      </w:r>
    </w:p>
    <w:p>
      <w:pPr>
        <w:spacing w:after="140"/>
      </w:pPr>
      <w:r>
        <w:rPr>
          <w:b/>
          <w:bCs/>
          <w:color w:val="16284C"/>
        </w:rPr>
        <w:t xml:space="preserve">What Solix EDG supports today:</w:t>
      </w:r>
    </w:p>
    <w:p>
      <w:pPr>
        <w:pStyle w:val="ListParagraph"/>
        <w:numPr>
          <w:ilvl w:val="0"/>
          <w:numId w:val="2"/>
        </w:numPr>
        <w:spacing w:after="60"/>
      </w:pPr>
      <w:r>
        <w:rPr>
          <w:b/>
          <w:bCs/>
        </w:rPr>
        <w:t xml:space="preserve">Broad source coverage — </w:t>
      </w:r>
      <w:r>
        <w:t xml:space="preserve">connects to major cloud data warehouses, databases, and cloud file storage (the full list is in the reference section).</w:t>
      </w:r>
    </w:p>
    <w:p>
      <w:pPr>
        <w:pStyle w:val="ListParagraph"/>
        <w:numPr>
          <w:ilvl w:val="0"/>
          <w:numId w:val="2"/>
        </w:numPr>
        <w:spacing w:after="60"/>
      </w:pPr>
      <w:r>
        <w:rPr>
          <w:b/>
          <w:bCs/>
        </w:rPr>
        <w:t xml:space="preserve">An automatic, current catalog — </w:t>
      </w:r>
      <w:r>
        <w:t xml:space="preserve">reads the descriptive information from each connected source on a schedule, so the catalog stays complete and up to date on its own.</w:t>
      </w:r>
    </w:p>
    <w:p>
      <w:pPr>
        <w:pStyle w:val="ListParagraph"/>
        <w:numPr>
          <w:ilvl w:val="0"/>
          <w:numId w:val="2"/>
        </w:numPr>
        <w:spacing w:after="60"/>
      </w:pPr>
      <w:r>
        <w:rPr>
          <w:b/>
          <w:bCs/>
        </w:rPr>
        <w:t xml:space="preserve">What it brings in — </w:t>
      </w:r>
      <w:r>
        <w:t xml:space="preserve">the descriptive information for the catalog, the data-flow map (lineage), column statistics (profiling), and signals about how data is used.</w:t>
      </w:r>
    </w:p>
    <w:p>
      <w:pPr>
        <w:pStyle w:val="ListParagraph"/>
        <w:numPr>
          <w:ilvl w:val="0"/>
          <w:numId w:val="2"/>
        </w:numPr>
        <w:spacing w:after="60"/>
      </w:pPr>
      <w:r>
        <w:rPr>
          <w:b/>
          <w:bCs/>
        </w:rPr>
        <w:t xml:space="preserve">Controlled and secure — </w:t>
      </w:r>
      <w:r>
        <w:t xml:space="preserve">administrators choose exactly which databases and tables to include, and the credentials used to connect are protected.</w:t>
      </w:r>
    </w:p>
    <w:p>
      <w:pPr>
        <w:pStyle w:val="ListParagraph"/>
        <w:numPr>
          <w:ilvl w:val="0"/>
          <w:numId w:val="2"/>
        </w:numPr>
        <w:spacing w:after="60"/>
      </w:pPr>
      <w:r>
        <w:rPr>
          <w:b/>
          <w:bCs/>
        </w:rPr>
        <w:t xml:space="preserve">Governs data in place — </w:t>
      </w:r>
      <w:r>
        <w:t xml:space="preserve">EDG describes and governs data where it already lives; it does not copy or move the underlying data.</w:t>
      </w:r>
    </w:p>
    <w:p>
      <w:pPr>
        <w:spacing w:after="40"/>
      </w:pPr>
      <w:r>
        <w:t xml:space="preserve"/>
      </w:r>
    </w:p>
    <w:p>
      <w:pPr>
        <w:pStyle w:val="Heading1"/>
      </w:pPr>
      <w:r>
        <w:t xml:space="preserve">11. Audit &amp; Activity History</w:t>
      </w:r>
    </w:p>
    <w:p>
      <w:pPr>
        <w:spacing w:after="140"/>
      </w:pPr>
      <w:r>
        <w:t xml:space="preserve">An audit history is a permanent, tamper-evident record of everything that happened. It is the evidence base that lets the organization prove what was done, by whom, and when — which is exactly what auditors and leadership need.</w:t>
      </w:r>
    </w:p>
    <w:p>
      <w:pPr>
        <w:spacing w:after="140"/>
      </w:pPr>
      <w:r>
        <w:t xml:space="preserve">Solix EDG records this history across the platform.</w:t>
      </w:r>
    </w:p>
    <w:p>
      <w:pPr>
        <w:spacing w:after="140"/>
      </w:pPr>
      <w:r>
        <w:rPr>
          <w:b/>
          <w:bCs/>
          <w:color w:val="16284C"/>
        </w:rPr>
        <w:t xml:space="preserve">What Solix EDG supports today:</w:t>
      </w:r>
    </w:p>
    <w:p>
      <w:pPr>
        <w:pStyle w:val="ListParagraph"/>
        <w:numPr>
          <w:ilvl w:val="0"/>
          <w:numId w:val="2"/>
        </w:numPr>
        <w:spacing w:after="60"/>
      </w:pPr>
      <w:r>
        <w:rPr>
          <w:b/>
          <w:bCs/>
        </w:rPr>
        <w:t xml:space="preserve">A complete record — </w:t>
      </w:r>
      <w:r>
        <w:t xml:space="preserve">every governed change is logged with the time, what changed (with the before-and-after values), and who made the change.</w:t>
      </w:r>
    </w:p>
    <w:p>
      <w:pPr>
        <w:pStyle w:val="ListParagraph"/>
        <w:numPr>
          <w:ilvl w:val="0"/>
          <w:numId w:val="2"/>
        </w:numPr>
        <w:spacing w:after="60"/>
      </w:pPr>
      <w:r>
        <w:rPr>
          <w:b/>
          <w:bCs/>
        </w:rPr>
        <w:t xml:space="preserve">Across the whole platform — </w:t>
      </w:r>
      <w:r>
        <w:t xml:space="preserve">captured for data items, business areas, data products, and policies — covering edits, certification, access, structural changes, labelling, and system activity.</w:t>
      </w:r>
    </w:p>
    <w:p>
      <w:pPr>
        <w:pStyle w:val="ListParagraph"/>
        <w:numPr>
          <w:ilvl w:val="0"/>
          <w:numId w:val="2"/>
        </w:numPr>
        <w:spacing w:after="60"/>
      </w:pPr>
      <w:r>
        <w:rPr>
          <w:b/>
          <w:bCs/>
        </w:rPr>
        <w:t xml:space="preserve">Ready for audits — </w:t>
      </w:r>
      <w:r>
        <w:t xml:space="preserve">the history can be exported for reporting and review.</w:t>
      </w:r>
    </w:p>
    <w:p>
      <w:pPr>
        <w:spacing w:after="40"/>
      </w:pPr>
      <w:r>
        <w:t xml:space="preserve"/>
      </w:r>
    </w:p>
    <w:p>
      <w:r>
        <w:br w:type="page"/>
      </w:r>
    </w:p>
    <w:p>
      <w:pPr>
        <w:pStyle w:val="Heading1"/>
      </w:pPr>
      <w:r>
        <w:t xml:space="preserve">12. Supported Sources &amp; Asset Types</w:t>
      </w:r>
    </w:p>
    <w:p>
      <w:pPr>
        <w:spacing w:after="140"/>
      </w:pPr>
      <w:r>
        <w:rPr>
          <w:b/>
          <w:bCs/>
          <w:color w:val="16284C"/>
        </w:rPr>
        <w:t xml:space="preserve">The systems Solix EDG connects to in order to read data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Type of system</w:t>
            </w:r>
          </w:p>
        </w:tc>
        <w:tc>
          <w:tcPr>
            <w:tcW w:type="dxa" w:w="62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Supported sources</w:t>
            </w:r>
          </w:p>
        </w:tc>
      </w:tr>
      <w:tr>
        <w:tc>
          <w:tcPr>
            <w:tcW w:type="dxa" w:w="3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warehouses &amp; databases</w:t>
            </w:r>
          </w:p>
        </w:tc>
        <w:tc>
          <w:tcPr>
            <w:tcW w:type="dxa" w:w="62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Snowflake, Google BigQuery, Databricks, Amazon Redshift, Oracle, MySQL, PostgreSQL</w:t>
            </w:r>
          </w:p>
        </w:tc>
      </w:tr>
      <w:tr>
        <w:tc>
          <w:tcPr>
            <w:tcW w:type="dxa" w:w="31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Cloud file storage</w:t>
            </w:r>
          </w:p>
        </w:tc>
        <w:tc>
          <w:tcPr>
            <w:tcW w:type="dxa" w:w="62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Amazon S3, Azure Blob</w:t>
            </w:r>
          </w:p>
        </w:tc>
      </w:tr>
    </w:tbl>
    <w:p>
      <w:pPr>
        <w:spacing w:after="40"/>
      </w:pPr>
      <w:r>
        <w:t xml:space="preserve"/>
      </w:r>
    </w:p>
    <w:p>
      <w:pPr>
        <w:spacing w:after="140"/>
      </w:pPr>
      <w:r>
        <w:rPr>
          <w:b/>
          <w:bCs/>
          <w:color w:val="16284C"/>
        </w:rPr>
        <w:t xml:space="preserve">The kinds of data items Solix EDG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Item type</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What it means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Database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connected database or warehouse</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Schema</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grouping of tables within a database</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Table / View</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table of data, or a saved query that behaves like a table</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Container / Object</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cloud-storage folder and the files stored within it</w:t>
            </w:r>
          </w:p>
        </w:tc>
      </w:tr>
    </w:tbl>
    <w:p>
      <w:pPr>
        <w:spacing w:after="40"/>
      </w:pPr>
      <w:r>
        <w:t xml:space="preserve"/>
      </w:r>
    </w:p>
    <w:p>
      <w:pPr>
        <w:spacing w:after="140"/>
      </w:pPr>
      <w:r>
        <w:rPr>
          <w:b/>
          <w:bCs/>
          <w:color w:val="16284C"/>
        </w:rPr>
        <w:t xml:space="preserve">What “reading data information” brings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What is read</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Plain-English meaning</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Metadata</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descriptive details — names, structures, owners — added to the catalog</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Lineage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map of how data flows between items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Profiling</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automatic statistics about the contents of each column</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Usage</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signals about how often and by whom data is queried</w:t>
            </w:r>
          </w:p>
        </w:tc>
      </w:tr>
    </w:tbl>
    <w:p>
      <w:pPr>
        <w:spacing w:after="40"/>
      </w:pPr>
      <w:r>
        <w:t xml:space="preserve"/>
      </w:r>
    </w:p>
    <w:p>
      <w:pPr>
        <w:spacing w:after="140"/>
      </w:pPr>
      <w:r>
        <w:rPr>
          <w:b/>
          <w:bCs/>
          <w:color w:val="16284C"/>
        </w:rPr>
        <w:t xml:space="preserve">The standard access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Role</w:t>
            </w:r>
          </w:p>
        </w:tc>
        <w:tc>
          <w:tcPr>
            <w:tcW w:type="dxa" w:w="67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What they can do</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Admin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full access; manages users, roles, and policies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Connection Admin</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sets up source connections and data reading; can view data items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Steward</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looks after data within their assigned business area — descriptions, labels, quality, and status</w:t>
            </w:r>
          </w:p>
        </w:tc>
      </w:tr>
      <w:tr>
        <w:tc>
          <w:tcPr>
            <w:tcW w:type="dxa" w:w="26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Viewer</w:t>
            </w:r>
          </w:p>
        </w:tc>
        <w:tc>
          <w:tcPr>
            <w:tcW w:type="dxa" w:w="67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read-only access to the catalog, glossary, labels, and quality</w:t>
            </w:r>
          </w:p>
        </w:tc>
      </w:tr>
    </w:tbl>
    <w:p>
      <w:r>
        <w:br w:type="page"/>
      </w:r>
    </w:p>
    <w:p>
      <w:pPr>
        <w:pStyle w:val="Heading1"/>
      </w:pPr>
      <w:r>
        <w:t xml:space="preserve">13. Key Terms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Term</w:t>
            </w:r>
          </w:p>
        </w:tc>
        <w:tc>
          <w:tcPr>
            <w:tcW w:type="dxa" w:w="6660"/>
            <w:tcBorders>
              <w:top w:val="single" w:color="C9D4E0" w:sz="1"/>
              <w:left w:val="single" w:color="C9D4E0" w:sz="1"/>
              <w:bottom w:val="single" w:color="C9D4E0" w:sz="1"/>
              <w:right w:val="single" w:color="C9D4E0" w:sz="1"/>
            </w:tcBorders>
            <w:shd w:fill="16284C" w:val="clear"/>
            <w:tcMar>
              <w:top w:type="dxa" w:w="60"/>
              <w:left w:type="dxa" w:w="110"/>
              <w:bottom w:type="dxa" w:w="60"/>
              <w:right w:type="dxa" w:w="110"/>
            </w:tcMar>
            <w:vAlign w:val="center"/>
          </w:tcPr>
          <w:p>
            <w:r>
              <w:rPr>
                <w:b/>
                <w:bCs/>
                <w:color w:val="FFFFFF"/>
                <w:sz w:val="18"/>
                <w:szCs w:val="18"/>
              </w:rPr>
              <w:t xml:space="preserve">Plain-English meaning</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governance</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overall practice of keeping data organized, trusted, controlled, and compliant.</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Metadata</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information that describes data — its name, type, owner, and meaning (not the data itself).</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catalog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single, searchable inventory of all the organization’s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Lineage</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map of where data comes from and where it flows to.</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Schema</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structure of a database — how its tables and columns are arranged.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Column / field</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single attribute in a table, such as “email” or “order amount.”</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Glossary term</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an agreed business definition (e.g. “active customer”) linked to the real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Classification / label / tag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marker on data describing its sensitivity or meaning.</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PII</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Personally Identifiable Information — personal data such as name, email, or address.</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PHI</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Protected Health Information — health data protected by regulation.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PCI-DSS</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payment-card data subject to the card-industry security standard.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Domain</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business area (e.g. Finance) used to organize and own data.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Data product</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curated, ready-to-use set of data packaged for others to consume.</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Policy</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rule for how a category of data must be handled.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Control</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specific, checkable requirement within a regulation.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Steward</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person responsible for looking after data in a business area.</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Certification</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formal stamp that data has been reviewed and can be trusted.</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Audit log</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a permanent record of every change — who did what, and when.</w:t>
            </w:r>
          </w:p>
        </w:tc>
      </w:tr>
      <w:tr>
        <w:tc>
          <w:tcPr>
            <w:tcW w:type="dxa" w:w="270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Connector</w:t>
            </w:r>
          </w:p>
        </w:tc>
        <w:tc>
          <w:tcPr>
            <w:tcW w:type="dxa" w:w="6660"/>
            <w:tcBorders>
              <w:top w:val="single" w:color="C9D4E0" w:sz="1"/>
              <w:left w:val="single" w:color="C9D4E0" w:sz="1"/>
              <w:bottom w:val="single" w:color="C9D4E0" w:sz="1"/>
              <w:right w:val="single" w:color="C9D4E0" w:sz="1"/>
            </w:tcBorders>
            <w:shd w:fill="FFFFFF" w:val="clear"/>
            <w:tcMar>
              <w:top w:type="dxa" w:w="60"/>
              <w:left w:type="dxa" w:w="110"/>
              <w:bottom w:type="dxa" w:w="60"/>
              <w:right w:type="dxa" w:w="110"/>
            </w:tcMar>
            <w:vAlign w:val="center"/>
          </w:tcPr>
          <w:p>
            <w:r>
              <w:rPr>
                <w:b w:val="false"/>
                <w:bCs w:val="false"/>
                <w:color w:val="1A2233"/>
                <w:sz w:val="18"/>
                <w:szCs w:val="18"/>
              </w:rPr>
              <w:t xml:space="preserve">the link that lets EDG read information from a source system.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27A"/>
        <w:sz w:val="16"/>
        <w:szCs w:val="16"/>
      </w:rPr>
      <w:t xml:space="preserve">Confidential  ·  Solix Technologies, Inc.   |   Page </w:t>
    </w:r>
    <w:r>
      <w:rPr>
        <w:color w:val="5562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627A"/>
        <w:sz w:val="16"/>
        <w:szCs w:val="16"/>
      </w:rPr>
      <w:t xml:space="preserve">Solix EDG — Product Definition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Arial" w:cs="Arial" w:eastAsia="Arial" w:hAnsi="Arial"/>
      <w:b/>
      <w:bCs/>
      <w:color w:val="16284C"/>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62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Solix EDG — Product Definition Document</dc:title>
  <dc:creator>Solix Technologies</dc:creator>
  <cp:lastModifiedBy>Un-named</cp:lastModifiedBy>
  <cp:revision>1</cp:revision>
  <dcterms:created xsi:type="dcterms:W3CDTF">2026-06-02T14:43:29.738Z</dcterms:created>
  <dcterms:modified xsi:type="dcterms:W3CDTF">2026-06-02T14:43:29.740Z</dcterms:modified>
</cp:coreProperties>
</file>

<file path=docProps/custom.xml><?xml version="1.0" encoding="utf-8"?>
<Properties xmlns="http://schemas.openxmlformats.org/officeDocument/2006/custom-properties" xmlns:vt="http://schemas.openxmlformats.org/officeDocument/2006/docPropsVTypes"/>
</file>